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1AC61" w14:textId="77777777" w:rsidR="0042693B" w:rsidRPr="00C44B9C" w:rsidRDefault="0042693B" w:rsidP="0042693B">
      <w:pPr>
        <w:pStyle w:val="1"/>
        <w:rPr>
          <w:rFonts w:ascii="Times New Roman" w:hAnsi="Times New Roman"/>
          <w:sz w:val="16"/>
          <w:szCs w:val="16"/>
        </w:rPr>
      </w:pPr>
      <w:bookmarkStart w:id="0" w:name="_GoBack"/>
      <w:bookmarkEnd w:id="0"/>
      <w:r w:rsidRPr="00C44B9C">
        <w:rPr>
          <w:rFonts w:ascii="Times New Roman" w:hAnsi="Times New Roman"/>
          <w:sz w:val="16"/>
          <w:szCs w:val="16"/>
        </w:rPr>
        <w:t>ШАНОВНИЙ АКЦІОНЕР !</w:t>
      </w:r>
    </w:p>
    <w:p w14:paraId="443EFF85" w14:textId="77777777" w:rsidR="0042693B" w:rsidRPr="00C44B9C" w:rsidRDefault="0042693B" w:rsidP="0042693B">
      <w:pPr>
        <w:rPr>
          <w:sz w:val="16"/>
          <w:szCs w:val="16"/>
          <w:lang w:val="uk-UA"/>
        </w:rPr>
      </w:pPr>
    </w:p>
    <w:p w14:paraId="2B3EDECA" w14:textId="7E8EA45F" w:rsidR="0042693B" w:rsidRPr="00C44B9C" w:rsidRDefault="0042693B" w:rsidP="006610E9">
      <w:pPr>
        <w:pStyle w:val="1"/>
        <w:ind w:firstLine="708"/>
        <w:jc w:val="both"/>
        <w:rPr>
          <w:b w:val="0"/>
          <w:i/>
          <w:iCs/>
          <w:sz w:val="16"/>
          <w:szCs w:val="16"/>
        </w:rPr>
      </w:pPr>
      <w:r w:rsidRPr="00C44B9C">
        <w:rPr>
          <w:rFonts w:ascii="Times New Roman" w:hAnsi="Times New Roman"/>
          <w:b w:val="0"/>
          <w:bCs w:val="0"/>
          <w:i/>
          <w:iCs/>
          <w:sz w:val="16"/>
          <w:szCs w:val="16"/>
        </w:rPr>
        <w:t>Наглядова рада</w:t>
      </w:r>
      <w:r w:rsidRPr="00C44B9C">
        <w:rPr>
          <w:rFonts w:ascii="Times New Roman" w:hAnsi="Times New Roman"/>
          <w:sz w:val="16"/>
          <w:szCs w:val="16"/>
        </w:rPr>
        <w:t xml:space="preserve"> </w:t>
      </w:r>
      <w:r w:rsidRPr="00C44B9C">
        <w:rPr>
          <w:rFonts w:ascii="Times New Roman" w:hAnsi="Times New Roman"/>
          <w:i/>
          <w:sz w:val="16"/>
          <w:szCs w:val="16"/>
        </w:rPr>
        <w:t>А</w:t>
      </w:r>
      <w:r w:rsidRPr="00C44B9C">
        <w:rPr>
          <w:rFonts w:ascii="Times New Roman" w:hAnsi="Times New Roman"/>
          <w:i/>
          <w:iCs/>
          <w:sz w:val="16"/>
          <w:szCs w:val="16"/>
        </w:rPr>
        <w:t xml:space="preserve">кціонерного товариства “КОБЛЕВО” </w:t>
      </w:r>
      <w:r w:rsidRPr="00C44B9C">
        <w:rPr>
          <w:rFonts w:ascii="Times New Roman" w:hAnsi="Times New Roman"/>
          <w:b w:val="0"/>
          <w:bCs w:val="0"/>
          <w:i/>
          <w:iCs/>
          <w:sz w:val="16"/>
          <w:szCs w:val="16"/>
        </w:rPr>
        <w:t>(далі – Товариство)</w:t>
      </w:r>
      <w:r w:rsidR="001D643A" w:rsidRPr="006610E9">
        <w:rPr>
          <w:rFonts w:ascii="Times New Roman" w:hAnsi="Times New Roman"/>
          <w:i/>
          <w:iCs/>
          <w:sz w:val="16"/>
          <w:szCs w:val="16"/>
        </w:rPr>
        <w:t xml:space="preserve"> </w:t>
      </w:r>
      <w:r w:rsidRPr="00C44B9C">
        <w:rPr>
          <w:rFonts w:ascii="Times New Roman" w:hAnsi="Times New Roman"/>
          <w:b w:val="0"/>
          <w:bCs w:val="0"/>
          <w:i/>
          <w:iCs/>
          <w:sz w:val="16"/>
          <w:szCs w:val="16"/>
        </w:rPr>
        <w:t>код ЄДРПОУ:</w:t>
      </w:r>
      <w:r w:rsidRPr="00C44B9C">
        <w:rPr>
          <w:rFonts w:ascii="Times New Roman" w:hAnsi="Times New Roman"/>
          <w:sz w:val="16"/>
          <w:szCs w:val="16"/>
        </w:rPr>
        <w:t xml:space="preserve"> </w:t>
      </w:r>
      <w:r w:rsidRPr="00C44B9C">
        <w:rPr>
          <w:rFonts w:ascii="Times New Roman" w:hAnsi="Times New Roman"/>
          <w:b w:val="0"/>
          <w:i/>
          <w:sz w:val="16"/>
          <w:szCs w:val="16"/>
        </w:rPr>
        <w:t>00413966</w:t>
      </w:r>
      <w:r w:rsidRPr="00C44B9C">
        <w:rPr>
          <w:rFonts w:ascii="Times New Roman" w:hAnsi="Times New Roman"/>
          <w:b w:val="0"/>
          <w:bCs w:val="0"/>
          <w:i/>
          <w:iCs/>
          <w:sz w:val="16"/>
          <w:szCs w:val="16"/>
        </w:rPr>
        <w:t xml:space="preserve">, місцезнаходження: </w:t>
      </w:r>
      <w:r w:rsidRPr="00C44B9C">
        <w:rPr>
          <w:rFonts w:ascii="Times New Roman" w:hAnsi="Times New Roman"/>
          <w:b w:val="0"/>
          <w:i/>
          <w:color w:val="000000"/>
          <w:sz w:val="16"/>
          <w:szCs w:val="16"/>
        </w:rPr>
        <w:t xml:space="preserve">Україна, 57453, Миколаївська область, </w:t>
      </w:r>
      <w:proofErr w:type="spellStart"/>
      <w:r w:rsidRPr="00C44B9C">
        <w:rPr>
          <w:rFonts w:ascii="Times New Roman" w:hAnsi="Times New Roman"/>
          <w:b w:val="0"/>
          <w:i/>
          <w:color w:val="000000"/>
          <w:sz w:val="16"/>
          <w:szCs w:val="16"/>
        </w:rPr>
        <w:t>Березанський</w:t>
      </w:r>
      <w:proofErr w:type="spellEnd"/>
      <w:r w:rsidRPr="00C44B9C">
        <w:rPr>
          <w:rFonts w:ascii="Times New Roman" w:hAnsi="Times New Roman"/>
          <w:b w:val="0"/>
          <w:i/>
          <w:color w:val="000000"/>
          <w:sz w:val="16"/>
          <w:szCs w:val="16"/>
        </w:rPr>
        <w:t xml:space="preserve"> район,</w:t>
      </w:r>
      <w:r w:rsidR="001D643A" w:rsidRPr="006610E9">
        <w:rPr>
          <w:rFonts w:ascii="Times New Roman" w:hAnsi="Times New Roman"/>
          <w:bCs w:val="0"/>
          <w:i/>
          <w:color w:val="000000"/>
          <w:sz w:val="16"/>
          <w:szCs w:val="16"/>
        </w:rPr>
        <w:t xml:space="preserve"> </w:t>
      </w:r>
      <w:r w:rsidRPr="00C44B9C">
        <w:rPr>
          <w:rFonts w:ascii="Times New Roman" w:hAnsi="Times New Roman"/>
          <w:b w:val="0"/>
          <w:i/>
          <w:color w:val="000000"/>
          <w:sz w:val="16"/>
          <w:szCs w:val="16"/>
        </w:rPr>
        <w:t xml:space="preserve">с. </w:t>
      </w:r>
      <w:proofErr w:type="spellStart"/>
      <w:r w:rsidRPr="00C44B9C">
        <w:rPr>
          <w:rFonts w:ascii="Times New Roman" w:hAnsi="Times New Roman"/>
          <w:b w:val="0"/>
          <w:i/>
          <w:color w:val="000000"/>
          <w:sz w:val="16"/>
          <w:szCs w:val="16"/>
        </w:rPr>
        <w:t>Коблеве</w:t>
      </w:r>
      <w:proofErr w:type="spellEnd"/>
      <w:r w:rsidRPr="00C44B9C">
        <w:rPr>
          <w:rFonts w:ascii="Times New Roman" w:hAnsi="Times New Roman"/>
          <w:b w:val="0"/>
          <w:i/>
          <w:color w:val="000000"/>
          <w:sz w:val="16"/>
          <w:szCs w:val="16"/>
        </w:rPr>
        <w:t xml:space="preserve">, </w:t>
      </w:r>
      <w:proofErr w:type="spellStart"/>
      <w:r w:rsidRPr="00C44B9C">
        <w:rPr>
          <w:rFonts w:ascii="Times New Roman" w:hAnsi="Times New Roman"/>
          <w:b w:val="0"/>
          <w:i/>
          <w:color w:val="000000"/>
          <w:sz w:val="16"/>
          <w:szCs w:val="16"/>
        </w:rPr>
        <w:t>вул.Одеська</w:t>
      </w:r>
      <w:proofErr w:type="spellEnd"/>
      <w:r w:rsidRPr="00C44B9C">
        <w:rPr>
          <w:rFonts w:ascii="Times New Roman" w:hAnsi="Times New Roman"/>
          <w:b w:val="0"/>
          <w:i/>
          <w:color w:val="000000"/>
          <w:sz w:val="16"/>
          <w:szCs w:val="16"/>
        </w:rPr>
        <w:t>,6</w:t>
      </w:r>
      <w:r w:rsidRPr="00C44B9C">
        <w:rPr>
          <w:rFonts w:ascii="Times New Roman" w:hAnsi="Times New Roman"/>
          <w:b w:val="0"/>
          <w:i/>
          <w:iCs/>
          <w:sz w:val="16"/>
          <w:szCs w:val="16"/>
        </w:rPr>
        <w:t>,</w:t>
      </w:r>
      <w:r w:rsidRPr="00C44B9C">
        <w:rPr>
          <w:rFonts w:ascii="Times New Roman" w:hAnsi="Times New Roman"/>
          <w:i/>
          <w:iCs/>
          <w:sz w:val="16"/>
          <w:szCs w:val="16"/>
        </w:rPr>
        <w:t xml:space="preserve"> </w:t>
      </w:r>
      <w:r w:rsidRPr="00C44B9C">
        <w:rPr>
          <w:rFonts w:ascii="Times New Roman" w:hAnsi="Times New Roman"/>
          <w:b w:val="0"/>
          <w:i/>
          <w:iCs/>
          <w:sz w:val="16"/>
          <w:szCs w:val="16"/>
        </w:rPr>
        <w:t>повідомляє про скликання річних Загальних зборів акціонерів Товариства (далі - Збори), які відбудуться</w:t>
      </w:r>
      <w:r w:rsidR="001D643A" w:rsidRPr="006610E9">
        <w:rPr>
          <w:rFonts w:ascii="Times New Roman" w:hAnsi="Times New Roman"/>
          <w:bCs w:val="0"/>
          <w:i/>
          <w:iCs/>
          <w:sz w:val="16"/>
          <w:szCs w:val="16"/>
        </w:rPr>
        <w:t xml:space="preserve"> </w:t>
      </w:r>
      <w:r w:rsidRPr="00BC4AF9">
        <w:rPr>
          <w:rFonts w:ascii="Times New Roman" w:hAnsi="Times New Roman"/>
          <w:b w:val="0"/>
          <w:i/>
          <w:iCs/>
          <w:sz w:val="16"/>
          <w:szCs w:val="16"/>
        </w:rPr>
        <w:t>16 квітня</w:t>
      </w:r>
      <w:r w:rsidR="00C44B9C" w:rsidRPr="00BC4AF9">
        <w:rPr>
          <w:rFonts w:ascii="Times New Roman" w:hAnsi="Times New Roman"/>
          <w:b w:val="0"/>
          <w:i/>
          <w:iCs/>
          <w:sz w:val="16"/>
          <w:szCs w:val="16"/>
        </w:rPr>
        <w:t xml:space="preserve"> </w:t>
      </w:r>
      <w:r w:rsidRPr="00BC4AF9">
        <w:rPr>
          <w:rFonts w:ascii="Times New Roman" w:hAnsi="Times New Roman"/>
          <w:b w:val="0"/>
          <w:i/>
          <w:iCs/>
          <w:sz w:val="16"/>
          <w:szCs w:val="16"/>
        </w:rPr>
        <w:t>2020</w:t>
      </w:r>
      <w:r w:rsidRPr="00C44B9C">
        <w:rPr>
          <w:rFonts w:ascii="Times New Roman" w:hAnsi="Times New Roman"/>
          <w:b w:val="0"/>
          <w:i/>
          <w:iCs/>
          <w:sz w:val="16"/>
          <w:szCs w:val="16"/>
        </w:rPr>
        <w:t xml:space="preserve"> року о 10 годині 30 хвилин</w:t>
      </w:r>
      <w:r w:rsidRPr="00C44B9C">
        <w:rPr>
          <w:rFonts w:ascii="Times New Roman" w:hAnsi="Times New Roman"/>
          <w:i/>
          <w:iCs/>
          <w:sz w:val="16"/>
          <w:szCs w:val="16"/>
        </w:rPr>
        <w:t xml:space="preserve"> </w:t>
      </w:r>
      <w:r w:rsidRPr="00C44B9C">
        <w:rPr>
          <w:rFonts w:ascii="Times New Roman" w:hAnsi="Times New Roman"/>
          <w:b w:val="0"/>
          <w:bCs w:val="0"/>
          <w:i/>
          <w:iCs/>
          <w:sz w:val="16"/>
          <w:szCs w:val="16"/>
        </w:rPr>
        <w:t xml:space="preserve">за адресою місцезнаходження Товариства: </w:t>
      </w:r>
      <w:r w:rsidRPr="00C44B9C">
        <w:rPr>
          <w:rFonts w:ascii="Times New Roman" w:hAnsi="Times New Roman"/>
          <w:b w:val="0"/>
          <w:i/>
          <w:color w:val="000000"/>
          <w:sz w:val="16"/>
          <w:szCs w:val="16"/>
        </w:rPr>
        <w:t xml:space="preserve">Україна, 57453, Миколаївська область, </w:t>
      </w:r>
      <w:proofErr w:type="spellStart"/>
      <w:r w:rsidRPr="00C44B9C">
        <w:rPr>
          <w:rFonts w:ascii="Times New Roman" w:hAnsi="Times New Roman"/>
          <w:b w:val="0"/>
          <w:i/>
          <w:color w:val="000000"/>
          <w:sz w:val="16"/>
          <w:szCs w:val="16"/>
        </w:rPr>
        <w:t>Березанський</w:t>
      </w:r>
      <w:proofErr w:type="spellEnd"/>
      <w:r w:rsidRPr="00C44B9C">
        <w:rPr>
          <w:rFonts w:ascii="Times New Roman" w:hAnsi="Times New Roman"/>
          <w:b w:val="0"/>
          <w:i/>
          <w:color w:val="000000"/>
          <w:sz w:val="16"/>
          <w:szCs w:val="16"/>
        </w:rPr>
        <w:t xml:space="preserve"> район, с. </w:t>
      </w:r>
      <w:proofErr w:type="spellStart"/>
      <w:r w:rsidRPr="00C44B9C">
        <w:rPr>
          <w:rFonts w:ascii="Times New Roman" w:hAnsi="Times New Roman"/>
          <w:b w:val="0"/>
          <w:i/>
          <w:color w:val="000000"/>
          <w:sz w:val="16"/>
          <w:szCs w:val="16"/>
        </w:rPr>
        <w:t>Коблеве</w:t>
      </w:r>
      <w:proofErr w:type="spellEnd"/>
      <w:r w:rsidRPr="00C44B9C">
        <w:rPr>
          <w:rFonts w:ascii="Times New Roman" w:hAnsi="Times New Roman"/>
          <w:b w:val="0"/>
          <w:i/>
          <w:color w:val="000000"/>
          <w:sz w:val="16"/>
          <w:szCs w:val="16"/>
        </w:rPr>
        <w:t>, вул.</w:t>
      </w:r>
      <w:r w:rsidR="00937555" w:rsidRPr="00BC4AF9">
        <w:rPr>
          <w:rFonts w:ascii="Times New Roman" w:hAnsi="Times New Roman"/>
          <w:b w:val="0"/>
          <w:i/>
          <w:color w:val="000000"/>
          <w:sz w:val="16"/>
          <w:szCs w:val="16"/>
        </w:rPr>
        <w:t xml:space="preserve"> </w:t>
      </w:r>
      <w:r w:rsidRPr="00C44B9C">
        <w:rPr>
          <w:rFonts w:ascii="Times New Roman" w:hAnsi="Times New Roman"/>
          <w:b w:val="0"/>
          <w:i/>
          <w:color w:val="000000"/>
          <w:sz w:val="16"/>
          <w:szCs w:val="16"/>
        </w:rPr>
        <w:t xml:space="preserve">Одеська,6, актова зала №1. </w:t>
      </w:r>
      <w:r w:rsidRPr="00C44B9C">
        <w:rPr>
          <w:rFonts w:ascii="Times New Roman" w:hAnsi="Times New Roman"/>
          <w:b w:val="0"/>
          <w:i/>
          <w:iCs/>
          <w:sz w:val="16"/>
          <w:szCs w:val="16"/>
        </w:rPr>
        <w:t>Реєстрація учасників Зборів відбудеться 16 квітня 2020 року за місцем проведення Зборів. Початок реєстрації о 09 годині 45 хвилин, закінчення реєстрації о 10 годині 15 хвилин. Реєстрація акціонерів та їх представників для участі у Зборах відбуватиметься відповідно до переліку акціонерів, які мають право на участь у Зборах, складеному станом на 24 годину за 3 (три) робочих дні до дати проведення Зборів, тобто на 24.00 год. 10 квітня 2020 року</w:t>
      </w:r>
      <w:r w:rsidRPr="00C44B9C">
        <w:rPr>
          <w:b w:val="0"/>
          <w:i/>
          <w:iCs/>
          <w:sz w:val="16"/>
          <w:szCs w:val="16"/>
        </w:rPr>
        <w:t>.</w:t>
      </w:r>
    </w:p>
    <w:p w14:paraId="25F5C0CE" w14:textId="77777777" w:rsidR="00C44B9C" w:rsidRDefault="00C44B9C" w:rsidP="0042693B">
      <w:pPr>
        <w:jc w:val="both"/>
        <w:rPr>
          <w:rFonts w:ascii="Times New Roman" w:hAnsi="Times New Roman" w:cs="Times New Roman"/>
          <w:b/>
          <w:bCs/>
          <w:sz w:val="16"/>
          <w:szCs w:val="16"/>
          <w:lang w:val="uk-UA"/>
        </w:rPr>
      </w:pPr>
    </w:p>
    <w:p w14:paraId="5FF25502" w14:textId="77777777" w:rsidR="0042693B" w:rsidRPr="00C44B9C" w:rsidRDefault="0042693B" w:rsidP="0042693B">
      <w:pPr>
        <w:jc w:val="both"/>
        <w:rPr>
          <w:rFonts w:ascii="Times New Roman" w:hAnsi="Times New Roman" w:cs="Times New Roman"/>
          <w:sz w:val="16"/>
          <w:szCs w:val="16"/>
          <w:lang w:val="uk-UA"/>
        </w:rPr>
      </w:pPr>
      <w:r w:rsidRPr="00C44B9C">
        <w:rPr>
          <w:rFonts w:ascii="Times New Roman" w:hAnsi="Times New Roman" w:cs="Times New Roman"/>
          <w:b/>
          <w:bCs/>
          <w:sz w:val="16"/>
          <w:szCs w:val="16"/>
          <w:lang w:val="uk-UA"/>
        </w:rPr>
        <w:t>ПЕРЕЛІК ПИТАНЬ, ВКЛЮЧЕНИХ ДО ПРОЕКТУ ПОРЯДКУ ДЕННОГО З ПРОЕКТАМИ РІШЕНЬ:</w:t>
      </w:r>
    </w:p>
    <w:p w14:paraId="6EB41413" w14:textId="77777777" w:rsidR="00C228E1" w:rsidRPr="006610E9" w:rsidRDefault="00C228E1" w:rsidP="00C228E1">
      <w:pPr>
        <w:pStyle w:val="a4"/>
        <w:numPr>
          <w:ilvl w:val="0"/>
          <w:numId w:val="1"/>
        </w:numPr>
        <w:tabs>
          <w:tab w:val="left" w:pos="426"/>
        </w:tabs>
        <w:spacing w:before="0" w:beforeAutospacing="0" w:after="0" w:afterAutospacing="0"/>
        <w:ind w:left="284" w:firstLine="0"/>
        <w:jc w:val="both"/>
        <w:rPr>
          <w:b/>
          <w:bCs/>
          <w:sz w:val="16"/>
          <w:szCs w:val="16"/>
          <w:lang w:val="uk-UA"/>
        </w:rPr>
      </w:pPr>
      <w:r w:rsidRPr="006610E9">
        <w:rPr>
          <w:b/>
          <w:bCs/>
          <w:sz w:val="16"/>
          <w:szCs w:val="16"/>
          <w:lang w:val="uk-UA"/>
        </w:rPr>
        <w:t xml:space="preserve">Обрання Голови та членів </w:t>
      </w:r>
      <w:r w:rsidR="00C44B9C" w:rsidRPr="006610E9">
        <w:rPr>
          <w:b/>
          <w:bCs/>
          <w:sz w:val="16"/>
          <w:szCs w:val="16"/>
          <w:lang w:val="uk-UA"/>
        </w:rPr>
        <w:t>Л</w:t>
      </w:r>
      <w:r w:rsidRPr="006610E9">
        <w:rPr>
          <w:b/>
          <w:bCs/>
          <w:sz w:val="16"/>
          <w:szCs w:val="16"/>
          <w:lang w:val="uk-UA"/>
        </w:rPr>
        <w:t>ічильної комісії Товариства та припинення їх повноважень.</w:t>
      </w:r>
    </w:p>
    <w:p w14:paraId="0D7321C1" w14:textId="77777777" w:rsidR="00C228E1" w:rsidRPr="00C44B9C" w:rsidRDefault="00C228E1" w:rsidP="00C228E1">
      <w:pPr>
        <w:pStyle w:val="a4"/>
        <w:tabs>
          <w:tab w:val="left" w:pos="426"/>
        </w:tabs>
        <w:spacing w:before="0" w:beforeAutospacing="0" w:after="0" w:afterAutospacing="0"/>
        <w:ind w:left="426" w:hanging="142"/>
        <w:jc w:val="both"/>
        <w:rPr>
          <w:sz w:val="16"/>
          <w:szCs w:val="16"/>
          <w:lang w:val="uk-UA"/>
        </w:rPr>
      </w:pPr>
      <w:r w:rsidRPr="00C44B9C">
        <w:rPr>
          <w:i/>
          <w:iCs/>
          <w:sz w:val="16"/>
          <w:szCs w:val="16"/>
          <w:lang w:val="uk-UA"/>
        </w:rPr>
        <w:t xml:space="preserve"> </w:t>
      </w:r>
      <w:r w:rsidRPr="00C44B9C">
        <w:rPr>
          <w:iCs/>
          <w:sz w:val="16"/>
          <w:szCs w:val="16"/>
          <w:lang w:val="uk-UA"/>
        </w:rPr>
        <w:t xml:space="preserve">  </w:t>
      </w:r>
      <w:r w:rsidRPr="00C44B9C">
        <w:rPr>
          <w:i/>
          <w:iCs/>
          <w:sz w:val="16"/>
          <w:szCs w:val="16"/>
          <w:u w:val="single"/>
          <w:lang w:val="uk-UA"/>
        </w:rPr>
        <w:t>Проект рішення</w:t>
      </w:r>
      <w:r w:rsidRPr="00C44B9C">
        <w:rPr>
          <w:i/>
          <w:iCs/>
          <w:sz w:val="16"/>
          <w:szCs w:val="16"/>
          <w:lang w:val="uk-UA"/>
        </w:rPr>
        <w:t>:</w:t>
      </w:r>
      <w:r w:rsidRPr="00C44B9C">
        <w:rPr>
          <w:sz w:val="16"/>
          <w:szCs w:val="16"/>
          <w:lang w:val="uk-UA"/>
        </w:rPr>
        <w:t> </w:t>
      </w:r>
      <w:r w:rsidRPr="00C44B9C">
        <w:rPr>
          <w:iCs/>
          <w:sz w:val="16"/>
          <w:szCs w:val="16"/>
          <w:lang w:val="uk-UA"/>
        </w:rPr>
        <w:t xml:space="preserve">  </w:t>
      </w:r>
      <w:r w:rsidRPr="00C44B9C">
        <w:rPr>
          <w:sz w:val="16"/>
          <w:szCs w:val="16"/>
          <w:lang w:val="uk-UA"/>
        </w:rPr>
        <w:t xml:space="preserve">Обрати </w:t>
      </w:r>
      <w:r w:rsidR="00C44B9C">
        <w:rPr>
          <w:sz w:val="16"/>
          <w:szCs w:val="16"/>
          <w:lang w:val="uk-UA"/>
        </w:rPr>
        <w:t>Л</w:t>
      </w:r>
      <w:r w:rsidRPr="00C44B9C">
        <w:rPr>
          <w:sz w:val="16"/>
          <w:szCs w:val="16"/>
          <w:lang w:val="uk-UA"/>
        </w:rPr>
        <w:t xml:space="preserve">ічильну комісію у складі трьох осіб: Новожилов Є.В. – голова Комісії; </w:t>
      </w:r>
      <w:proofErr w:type="spellStart"/>
      <w:r w:rsidRPr="00C44B9C">
        <w:rPr>
          <w:sz w:val="16"/>
          <w:szCs w:val="16"/>
          <w:lang w:val="uk-UA"/>
        </w:rPr>
        <w:t>Калашнікова</w:t>
      </w:r>
      <w:proofErr w:type="spellEnd"/>
      <w:r w:rsidRPr="00C44B9C">
        <w:rPr>
          <w:sz w:val="16"/>
          <w:szCs w:val="16"/>
          <w:lang w:val="uk-UA"/>
        </w:rPr>
        <w:t xml:space="preserve"> О.О. – член Комісії; </w:t>
      </w:r>
      <w:proofErr w:type="spellStart"/>
      <w:r w:rsidRPr="00C44B9C">
        <w:rPr>
          <w:sz w:val="16"/>
          <w:szCs w:val="16"/>
          <w:lang w:val="uk-UA"/>
        </w:rPr>
        <w:t>Зорянська</w:t>
      </w:r>
      <w:proofErr w:type="spellEnd"/>
      <w:r w:rsidRPr="00C44B9C">
        <w:rPr>
          <w:sz w:val="16"/>
          <w:szCs w:val="16"/>
          <w:lang w:val="uk-UA"/>
        </w:rPr>
        <w:t xml:space="preserve"> Л.В. –  член Комісії. Припинити повнова</w:t>
      </w:r>
      <w:r w:rsidR="00C44B9C">
        <w:rPr>
          <w:sz w:val="16"/>
          <w:szCs w:val="16"/>
          <w:lang w:val="uk-UA"/>
        </w:rPr>
        <w:t>ження обраних Голови та членів Л</w:t>
      </w:r>
      <w:r w:rsidRPr="00C44B9C">
        <w:rPr>
          <w:sz w:val="16"/>
          <w:szCs w:val="16"/>
          <w:lang w:val="uk-UA"/>
        </w:rPr>
        <w:t>ічильної комісії з моменту закриття цих Зборів.</w:t>
      </w:r>
    </w:p>
    <w:p w14:paraId="14E29E8A" w14:textId="77777777" w:rsidR="00C228E1" w:rsidRPr="006610E9" w:rsidRDefault="00C228E1" w:rsidP="00C228E1">
      <w:pPr>
        <w:pStyle w:val="a4"/>
        <w:numPr>
          <w:ilvl w:val="0"/>
          <w:numId w:val="1"/>
        </w:numPr>
        <w:spacing w:before="0" w:beforeAutospacing="0" w:after="0" w:afterAutospacing="0"/>
        <w:jc w:val="both"/>
        <w:rPr>
          <w:b/>
          <w:bCs/>
          <w:sz w:val="16"/>
          <w:szCs w:val="16"/>
          <w:lang w:val="uk-UA"/>
        </w:rPr>
      </w:pPr>
      <w:r w:rsidRPr="006610E9">
        <w:rPr>
          <w:b/>
          <w:bCs/>
          <w:sz w:val="16"/>
          <w:szCs w:val="16"/>
          <w:lang w:val="uk-UA"/>
        </w:rPr>
        <w:t>Обрання Голови та Секретаря річних Загальних зборів акціонерів Товариства.</w:t>
      </w:r>
    </w:p>
    <w:p w14:paraId="54E8DB2A" w14:textId="77777777" w:rsidR="00C228E1" w:rsidRPr="00C44B9C" w:rsidRDefault="00C228E1" w:rsidP="00993F55">
      <w:pPr>
        <w:pStyle w:val="a4"/>
        <w:spacing w:before="0" w:beforeAutospacing="0" w:after="0" w:afterAutospacing="0"/>
        <w:ind w:left="426"/>
        <w:jc w:val="both"/>
        <w:rPr>
          <w:sz w:val="16"/>
          <w:szCs w:val="16"/>
          <w:lang w:val="uk-UA"/>
        </w:rPr>
      </w:pPr>
      <w:r w:rsidRPr="00C44B9C">
        <w:rPr>
          <w:i/>
          <w:iCs/>
          <w:sz w:val="16"/>
          <w:szCs w:val="16"/>
          <w:u w:val="single"/>
          <w:lang w:val="uk-UA"/>
        </w:rPr>
        <w:t>Проект рішення:</w:t>
      </w:r>
      <w:r w:rsidR="00993F55" w:rsidRPr="00C44B9C">
        <w:rPr>
          <w:i/>
          <w:iCs/>
          <w:sz w:val="16"/>
          <w:szCs w:val="16"/>
          <w:u w:val="single"/>
          <w:lang w:val="uk-UA"/>
        </w:rPr>
        <w:t xml:space="preserve"> </w:t>
      </w:r>
      <w:r w:rsidRPr="00C44B9C">
        <w:rPr>
          <w:sz w:val="16"/>
          <w:szCs w:val="16"/>
          <w:lang w:val="uk-UA"/>
        </w:rPr>
        <w:t xml:space="preserve"> Обрати Головою річних Загальних зборів акціонерів Товариства – Новожилова Є.В. та Секретарем річних Загальних зборів акціонерів Товариства – </w:t>
      </w:r>
      <w:proofErr w:type="spellStart"/>
      <w:r w:rsidRPr="00C44B9C">
        <w:rPr>
          <w:sz w:val="16"/>
          <w:szCs w:val="16"/>
          <w:lang w:val="uk-UA"/>
        </w:rPr>
        <w:t>Калашнікову</w:t>
      </w:r>
      <w:proofErr w:type="spellEnd"/>
      <w:r w:rsidRPr="00C44B9C">
        <w:rPr>
          <w:sz w:val="16"/>
          <w:szCs w:val="16"/>
          <w:lang w:val="uk-UA"/>
        </w:rPr>
        <w:t xml:space="preserve"> О.О.</w:t>
      </w:r>
    </w:p>
    <w:p w14:paraId="042CBB98" w14:textId="77777777" w:rsidR="00C228E1" w:rsidRPr="00C44B9C" w:rsidRDefault="00C228E1" w:rsidP="00C228E1">
      <w:pPr>
        <w:suppressAutoHyphens/>
        <w:ind w:left="426"/>
        <w:jc w:val="both"/>
        <w:rPr>
          <w:rFonts w:ascii="Times New Roman" w:hAnsi="Times New Roman" w:cs="Times New Roman"/>
          <w:color w:val="000000"/>
          <w:kern w:val="1"/>
          <w:sz w:val="16"/>
          <w:szCs w:val="16"/>
          <w:lang w:val="uk-UA"/>
        </w:rPr>
      </w:pPr>
      <w:r w:rsidRPr="00C44B9C">
        <w:rPr>
          <w:rFonts w:ascii="Times New Roman" w:hAnsi="Times New Roman" w:cs="Times New Roman"/>
          <w:b/>
          <w:color w:val="000000"/>
          <w:kern w:val="1"/>
          <w:sz w:val="16"/>
          <w:szCs w:val="16"/>
          <w:lang w:val="uk-UA"/>
        </w:rPr>
        <w:t>3. Розгляд звіту Наглядової ради Товариства за 2019 рік та затвердження заходів за результатами його розгляду. Прийняття рішення за наслідками розгляду звіту Наглядової ради Товариства.</w:t>
      </w:r>
    </w:p>
    <w:p w14:paraId="432567D2" w14:textId="77777777" w:rsidR="00C228E1" w:rsidRPr="00C44B9C" w:rsidRDefault="00C228E1" w:rsidP="00C228E1">
      <w:pPr>
        <w:widowControl w:val="0"/>
        <w:suppressAutoHyphens/>
        <w:ind w:left="426" w:right="1"/>
        <w:contextualSpacing/>
        <w:jc w:val="both"/>
        <w:rPr>
          <w:rFonts w:ascii="Times New Roman" w:hAnsi="Times New Roman" w:cs="Times New Roman"/>
          <w:color w:val="000000"/>
          <w:kern w:val="1"/>
          <w:sz w:val="16"/>
          <w:szCs w:val="16"/>
          <w:lang w:val="uk-UA"/>
        </w:rPr>
      </w:pPr>
      <w:r w:rsidRPr="00C44B9C">
        <w:rPr>
          <w:rFonts w:ascii="Times New Roman" w:hAnsi="Times New Roman" w:cs="Times New Roman"/>
          <w:i/>
          <w:color w:val="000000"/>
          <w:kern w:val="1"/>
          <w:sz w:val="16"/>
          <w:szCs w:val="16"/>
          <w:u w:val="single"/>
          <w:lang w:val="uk-UA"/>
        </w:rPr>
        <w:t>Проект рішення:</w:t>
      </w:r>
      <w:r w:rsidRPr="00C44B9C">
        <w:rPr>
          <w:rFonts w:ascii="Times New Roman" w:hAnsi="Times New Roman" w:cs="Times New Roman"/>
          <w:color w:val="000000"/>
          <w:kern w:val="1"/>
          <w:sz w:val="16"/>
          <w:szCs w:val="16"/>
          <w:lang w:val="uk-UA"/>
        </w:rPr>
        <w:t xml:space="preserve"> 1.Затвердити Звіт Наглядової ради про діяльність Товариства за 2019 рік.</w:t>
      </w:r>
      <w:r w:rsidR="00993F55" w:rsidRPr="00C44B9C">
        <w:rPr>
          <w:rFonts w:ascii="Times New Roman" w:hAnsi="Times New Roman" w:cs="Times New Roman"/>
          <w:color w:val="000000"/>
          <w:kern w:val="1"/>
          <w:sz w:val="16"/>
          <w:szCs w:val="16"/>
          <w:lang w:val="uk-UA"/>
        </w:rPr>
        <w:t xml:space="preserve"> </w:t>
      </w:r>
      <w:r w:rsidRPr="00C44B9C">
        <w:rPr>
          <w:rFonts w:ascii="Times New Roman" w:hAnsi="Times New Roman" w:cs="Times New Roman"/>
          <w:color w:val="000000"/>
          <w:kern w:val="1"/>
          <w:sz w:val="16"/>
          <w:szCs w:val="16"/>
          <w:lang w:val="uk-UA"/>
        </w:rPr>
        <w:t>2. Визнати роботу Наглядової ради Товариства у 2019 році задовільною та такою, що відповідає меті та напрямкам діяльності Товариства і положенням його установчих документів.</w:t>
      </w:r>
      <w:r w:rsidR="00993F55" w:rsidRPr="00C44B9C">
        <w:rPr>
          <w:rFonts w:ascii="Times New Roman" w:hAnsi="Times New Roman" w:cs="Times New Roman"/>
          <w:color w:val="000000"/>
          <w:kern w:val="1"/>
          <w:sz w:val="16"/>
          <w:szCs w:val="16"/>
          <w:lang w:val="uk-UA"/>
        </w:rPr>
        <w:t xml:space="preserve"> </w:t>
      </w:r>
      <w:r w:rsidRPr="00C44B9C">
        <w:rPr>
          <w:rFonts w:ascii="Times New Roman" w:hAnsi="Times New Roman" w:cs="Times New Roman"/>
          <w:color w:val="000000"/>
          <w:kern w:val="1"/>
          <w:sz w:val="16"/>
          <w:szCs w:val="16"/>
          <w:lang w:val="uk-UA"/>
        </w:rPr>
        <w:t xml:space="preserve">3. У зв’язку з відсутністю зауважень та рекомендацій щодо звіту Наглядової ради Товариства, внаслідок чого заходи за результатами розгляду не розроблялись, не затверджувати заходи за результатами розгляду звіту Наглядової ради Товариства. </w:t>
      </w:r>
    </w:p>
    <w:p w14:paraId="0D0CC693" w14:textId="77777777" w:rsidR="00C228E1" w:rsidRPr="00C44B9C" w:rsidRDefault="00C228E1" w:rsidP="00C228E1">
      <w:pPr>
        <w:suppressAutoHyphens/>
        <w:ind w:left="426"/>
        <w:contextualSpacing/>
        <w:jc w:val="both"/>
        <w:rPr>
          <w:rFonts w:ascii="Times New Roman" w:hAnsi="Times New Roman" w:cs="Times New Roman"/>
          <w:color w:val="000000"/>
          <w:kern w:val="1"/>
          <w:sz w:val="16"/>
          <w:szCs w:val="16"/>
          <w:lang w:val="uk-UA"/>
        </w:rPr>
      </w:pPr>
      <w:r w:rsidRPr="00C44B9C">
        <w:rPr>
          <w:rFonts w:ascii="Times New Roman" w:hAnsi="Times New Roman" w:cs="Times New Roman"/>
          <w:b/>
          <w:color w:val="000000"/>
          <w:kern w:val="1"/>
          <w:sz w:val="16"/>
          <w:szCs w:val="16"/>
          <w:lang w:val="uk-UA"/>
        </w:rPr>
        <w:t>4. Затвердження звіту та висновків Ревізійної комісії Товариства за 2019 рік. Прийняття рішення за наслідками розгляду звіту Ревізійної комісії Товариства.</w:t>
      </w:r>
    </w:p>
    <w:p w14:paraId="3E2A9C5E" w14:textId="5B32DA5E" w:rsidR="00C228E1" w:rsidRPr="00C44B9C" w:rsidRDefault="00C228E1" w:rsidP="00C228E1">
      <w:pPr>
        <w:suppressAutoHyphens/>
        <w:ind w:left="426"/>
        <w:contextualSpacing/>
        <w:jc w:val="both"/>
        <w:rPr>
          <w:rFonts w:ascii="Times New Roman" w:hAnsi="Times New Roman" w:cs="Times New Roman"/>
          <w:color w:val="000000"/>
          <w:kern w:val="1"/>
          <w:sz w:val="16"/>
          <w:szCs w:val="16"/>
          <w:lang w:val="uk-UA"/>
        </w:rPr>
      </w:pPr>
      <w:r w:rsidRPr="00C44B9C">
        <w:rPr>
          <w:rFonts w:ascii="Times New Roman" w:hAnsi="Times New Roman" w:cs="Times New Roman"/>
          <w:i/>
          <w:color w:val="000000"/>
          <w:kern w:val="1"/>
          <w:sz w:val="16"/>
          <w:szCs w:val="16"/>
          <w:u w:val="single"/>
          <w:lang w:val="uk-UA"/>
        </w:rPr>
        <w:t>Проект рішення:</w:t>
      </w:r>
      <w:r w:rsidRPr="00C44B9C">
        <w:rPr>
          <w:rFonts w:ascii="Times New Roman" w:hAnsi="Times New Roman" w:cs="Times New Roman"/>
          <w:color w:val="000000"/>
          <w:kern w:val="1"/>
          <w:sz w:val="16"/>
          <w:szCs w:val="16"/>
          <w:lang w:val="uk-UA"/>
        </w:rPr>
        <w:t xml:space="preserve"> 1. Затвердити Звіт</w:t>
      </w:r>
      <w:r w:rsidR="006610E9">
        <w:rPr>
          <w:rFonts w:ascii="Times New Roman" w:hAnsi="Times New Roman" w:cs="Times New Roman"/>
          <w:color w:val="000000"/>
          <w:kern w:val="1"/>
          <w:sz w:val="16"/>
          <w:szCs w:val="16"/>
          <w:lang w:val="uk-UA"/>
        </w:rPr>
        <w:t xml:space="preserve"> та висновки</w:t>
      </w:r>
      <w:r w:rsidRPr="00C44B9C">
        <w:rPr>
          <w:rFonts w:ascii="Times New Roman" w:hAnsi="Times New Roman" w:cs="Times New Roman"/>
          <w:color w:val="000000"/>
          <w:kern w:val="1"/>
          <w:sz w:val="16"/>
          <w:szCs w:val="16"/>
          <w:lang w:val="uk-UA"/>
        </w:rPr>
        <w:t xml:space="preserve"> Ревізійної комісії Товариства за 2019 рік. 2. Визнати роботу Ревізійної комісії Товариства у 2019 році задовільною. 3. У зв’язку з відсутністю зауважень та рекомендацій щодо звіту Ревізійної комісії Товариства, внаслідок чого заходи за результатами розгляду не розроблялись, не затверджувати заходи за результатами розгляду звіту Ревізійної комісії Товариства.</w:t>
      </w:r>
    </w:p>
    <w:p w14:paraId="03BD8703" w14:textId="77777777" w:rsidR="00C228E1" w:rsidRPr="00C44B9C" w:rsidRDefault="00C228E1" w:rsidP="00C228E1">
      <w:pPr>
        <w:suppressAutoHyphens/>
        <w:ind w:left="426"/>
        <w:contextualSpacing/>
        <w:jc w:val="both"/>
        <w:rPr>
          <w:rFonts w:ascii="Times New Roman" w:hAnsi="Times New Roman" w:cs="Times New Roman"/>
          <w:b/>
          <w:color w:val="000000"/>
          <w:kern w:val="1"/>
          <w:sz w:val="16"/>
          <w:szCs w:val="16"/>
          <w:lang w:val="uk-UA"/>
        </w:rPr>
      </w:pPr>
      <w:r w:rsidRPr="00C44B9C">
        <w:rPr>
          <w:rFonts w:ascii="Times New Roman" w:hAnsi="Times New Roman" w:cs="Times New Roman"/>
          <w:b/>
          <w:color w:val="000000"/>
          <w:kern w:val="1"/>
          <w:sz w:val="16"/>
          <w:szCs w:val="16"/>
          <w:lang w:val="uk-UA"/>
        </w:rPr>
        <w:t>5. Схвалення рішення Наглядової ради Товариства від 08.10.2019 р. №08-10/2019.  Розгляд висновків зовнішнього аудиту Товариства та затвердження заходів за результатами його розгляду.</w:t>
      </w:r>
    </w:p>
    <w:p w14:paraId="18F12ECC" w14:textId="06897F82" w:rsidR="00C228E1" w:rsidRPr="00C44B9C" w:rsidRDefault="00C228E1" w:rsidP="00C228E1">
      <w:pPr>
        <w:suppressAutoHyphens/>
        <w:ind w:left="426"/>
        <w:contextualSpacing/>
        <w:jc w:val="both"/>
        <w:rPr>
          <w:rFonts w:ascii="Times New Roman" w:hAnsi="Times New Roman" w:cs="Times New Roman"/>
          <w:color w:val="000000"/>
          <w:kern w:val="1"/>
          <w:sz w:val="16"/>
          <w:szCs w:val="16"/>
          <w:lang w:val="uk-UA"/>
        </w:rPr>
      </w:pPr>
      <w:r w:rsidRPr="00C44B9C">
        <w:rPr>
          <w:rFonts w:ascii="Times New Roman" w:hAnsi="Times New Roman" w:cs="Times New Roman"/>
          <w:i/>
          <w:color w:val="000000"/>
          <w:kern w:val="1"/>
          <w:sz w:val="16"/>
          <w:szCs w:val="16"/>
          <w:u w:val="single"/>
          <w:lang w:val="uk-UA"/>
        </w:rPr>
        <w:t>Проект рішення:</w:t>
      </w:r>
      <w:r w:rsidRPr="00C44B9C">
        <w:rPr>
          <w:rFonts w:ascii="Times New Roman" w:hAnsi="Times New Roman" w:cs="Times New Roman"/>
          <w:color w:val="000000"/>
          <w:kern w:val="1"/>
          <w:sz w:val="16"/>
          <w:szCs w:val="16"/>
          <w:lang w:val="uk-UA"/>
        </w:rPr>
        <w:t xml:space="preserve"> 1. Схвалити рішення Наглядової ради Товариства від 08.10.2019 року № 08-10/2019 щодо обрання аудитором Товариства для проведення обов’язкового аудиту річної фінансової звітності - ТОВ «Міжнародний фінансовий аудит». 2. </w:t>
      </w:r>
      <w:r w:rsidR="00993F55" w:rsidRPr="00C44B9C">
        <w:rPr>
          <w:rFonts w:ascii="Times New Roman" w:hAnsi="Times New Roman" w:cs="Times New Roman"/>
          <w:color w:val="000000"/>
          <w:kern w:val="1"/>
          <w:sz w:val="16"/>
          <w:szCs w:val="16"/>
          <w:lang w:val="uk-UA"/>
        </w:rPr>
        <w:t>Затвердити висновки зовнішнього аудиту та заходи за результатами його розгляду.</w:t>
      </w:r>
      <w:r w:rsidRPr="00C44B9C">
        <w:rPr>
          <w:rFonts w:ascii="Times New Roman" w:hAnsi="Times New Roman" w:cs="Times New Roman"/>
          <w:color w:val="000000"/>
          <w:kern w:val="1"/>
          <w:sz w:val="16"/>
          <w:szCs w:val="16"/>
          <w:lang w:val="uk-UA"/>
        </w:rPr>
        <w:t xml:space="preserve"> </w:t>
      </w:r>
    </w:p>
    <w:p w14:paraId="779CFE21" w14:textId="77777777" w:rsidR="00C228E1" w:rsidRPr="00C44B9C" w:rsidRDefault="00C228E1" w:rsidP="00C228E1">
      <w:pPr>
        <w:suppressAutoHyphens/>
        <w:ind w:left="426"/>
        <w:jc w:val="both"/>
        <w:rPr>
          <w:rFonts w:ascii="Times New Roman" w:hAnsi="Times New Roman" w:cs="Times New Roman"/>
          <w:color w:val="000000"/>
          <w:kern w:val="1"/>
          <w:sz w:val="16"/>
          <w:szCs w:val="16"/>
          <w:lang w:val="uk-UA"/>
        </w:rPr>
      </w:pPr>
      <w:r w:rsidRPr="00C44B9C">
        <w:rPr>
          <w:rFonts w:ascii="Times New Roman" w:hAnsi="Times New Roman" w:cs="Times New Roman"/>
          <w:b/>
          <w:color w:val="000000"/>
          <w:kern w:val="1"/>
          <w:sz w:val="16"/>
          <w:szCs w:val="16"/>
          <w:lang w:val="uk-UA"/>
        </w:rPr>
        <w:t>6. Затвердження річного звіту Товариства за 2019 рік.</w:t>
      </w:r>
    </w:p>
    <w:p w14:paraId="5CCE36C4" w14:textId="77777777" w:rsidR="00C228E1" w:rsidRPr="00C44B9C" w:rsidRDefault="00C228E1" w:rsidP="00C228E1">
      <w:pPr>
        <w:suppressAutoHyphens/>
        <w:ind w:left="426"/>
        <w:contextualSpacing/>
        <w:jc w:val="both"/>
        <w:rPr>
          <w:rFonts w:ascii="Times New Roman" w:hAnsi="Times New Roman" w:cs="Times New Roman"/>
          <w:bCs/>
          <w:color w:val="000000"/>
          <w:kern w:val="1"/>
          <w:sz w:val="16"/>
          <w:szCs w:val="16"/>
          <w:lang w:val="uk-UA"/>
        </w:rPr>
      </w:pPr>
      <w:r w:rsidRPr="00C44B9C">
        <w:rPr>
          <w:rFonts w:ascii="Times New Roman" w:hAnsi="Times New Roman" w:cs="Times New Roman"/>
          <w:i/>
          <w:color w:val="000000"/>
          <w:kern w:val="1"/>
          <w:sz w:val="16"/>
          <w:szCs w:val="16"/>
          <w:u w:val="single"/>
          <w:lang w:val="uk-UA"/>
        </w:rPr>
        <w:t>Проект рішення:</w:t>
      </w:r>
      <w:r w:rsidRPr="00C44B9C">
        <w:rPr>
          <w:rFonts w:ascii="Times New Roman" w:hAnsi="Times New Roman" w:cs="Times New Roman"/>
          <w:color w:val="000000"/>
          <w:kern w:val="1"/>
          <w:sz w:val="16"/>
          <w:szCs w:val="16"/>
          <w:lang w:val="uk-UA"/>
        </w:rPr>
        <w:t xml:space="preserve"> Затвердити р</w:t>
      </w:r>
      <w:r w:rsidRPr="00C44B9C">
        <w:rPr>
          <w:rFonts w:ascii="Times New Roman" w:hAnsi="Times New Roman" w:cs="Times New Roman"/>
          <w:bCs/>
          <w:color w:val="000000"/>
          <w:kern w:val="1"/>
          <w:sz w:val="16"/>
          <w:szCs w:val="16"/>
          <w:lang w:val="uk-UA"/>
        </w:rPr>
        <w:t>ічний звіт Товариства за 2019 рік.</w:t>
      </w:r>
    </w:p>
    <w:p w14:paraId="6E17E3ED" w14:textId="77777777" w:rsidR="00C228E1" w:rsidRPr="00C44B9C" w:rsidRDefault="00C228E1" w:rsidP="00C228E1">
      <w:pPr>
        <w:suppressAutoHyphens/>
        <w:ind w:left="426"/>
        <w:jc w:val="both"/>
        <w:rPr>
          <w:rFonts w:ascii="Times New Roman" w:hAnsi="Times New Roman" w:cs="Times New Roman"/>
          <w:color w:val="000000"/>
          <w:kern w:val="1"/>
          <w:sz w:val="16"/>
          <w:szCs w:val="16"/>
          <w:lang w:val="uk-UA"/>
        </w:rPr>
      </w:pPr>
      <w:r w:rsidRPr="00C44B9C">
        <w:rPr>
          <w:rFonts w:ascii="Times New Roman" w:hAnsi="Times New Roman" w:cs="Times New Roman"/>
          <w:b/>
          <w:color w:val="000000"/>
          <w:kern w:val="1"/>
          <w:sz w:val="16"/>
          <w:szCs w:val="16"/>
          <w:lang w:val="uk-UA"/>
        </w:rPr>
        <w:t xml:space="preserve">7. Визначення </w:t>
      </w:r>
      <w:r w:rsidRPr="00C44B9C">
        <w:rPr>
          <w:rFonts w:ascii="Times New Roman" w:hAnsi="Times New Roman" w:cs="Times New Roman"/>
          <w:b/>
          <w:bCs/>
          <w:color w:val="000000"/>
          <w:kern w:val="1"/>
          <w:sz w:val="16"/>
          <w:szCs w:val="16"/>
          <w:lang w:val="uk-UA"/>
        </w:rPr>
        <w:t>порядку розподілу прибутку (покриття збитків) Товариства за 2019 рік.</w:t>
      </w:r>
    </w:p>
    <w:p w14:paraId="258FFC6D" w14:textId="77777777" w:rsidR="00C228E1" w:rsidRPr="00C44B9C" w:rsidRDefault="00C228E1" w:rsidP="00993F55">
      <w:pPr>
        <w:suppressAutoHyphens/>
        <w:ind w:left="426"/>
        <w:contextualSpacing/>
        <w:jc w:val="both"/>
        <w:rPr>
          <w:rFonts w:ascii="Times New Roman" w:hAnsi="Times New Roman" w:cs="Times New Roman"/>
          <w:bCs/>
          <w:color w:val="000000"/>
          <w:kern w:val="1"/>
          <w:sz w:val="16"/>
          <w:szCs w:val="16"/>
          <w:lang w:val="uk-UA"/>
        </w:rPr>
      </w:pPr>
      <w:r w:rsidRPr="00C44B9C">
        <w:rPr>
          <w:rFonts w:ascii="Times New Roman" w:hAnsi="Times New Roman" w:cs="Times New Roman"/>
          <w:i/>
          <w:color w:val="000000"/>
          <w:kern w:val="1"/>
          <w:sz w:val="16"/>
          <w:szCs w:val="16"/>
          <w:u w:val="single"/>
          <w:lang w:val="uk-UA"/>
        </w:rPr>
        <w:t>Проект рішення:</w:t>
      </w:r>
      <w:r w:rsidRPr="00C44B9C">
        <w:rPr>
          <w:rFonts w:ascii="Times New Roman" w:hAnsi="Times New Roman" w:cs="Times New Roman"/>
          <w:color w:val="000000"/>
          <w:kern w:val="1"/>
          <w:sz w:val="16"/>
          <w:szCs w:val="16"/>
          <w:lang w:val="uk-UA"/>
        </w:rPr>
        <w:t xml:space="preserve"> Чистий Прибуток Т</w:t>
      </w:r>
      <w:r w:rsidRPr="00C44B9C">
        <w:rPr>
          <w:rFonts w:ascii="Times New Roman" w:hAnsi="Times New Roman" w:cs="Times New Roman"/>
          <w:bCs/>
          <w:color w:val="000000"/>
          <w:kern w:val="1"/>
          <w:sz w:val="16"/>
          <w:szCs w:val="16"/>
          <w:lang w:val="uk-UA"/>
        </w:rPr>
        <w:t xml:space="preserve">овариства за 2019 рік у розмірі </w:t>
      </w:r>
      <w:r w:rsidR="00B832DE">
        <w:rPr>
          <w:rFonts w:ascii="Times New Roman" w:hAnsi="Times New Roman" w:cs="Times New Roman"/>
          <w:bCs/>
          <w:color w:val="000000"/>
          <w:kern w:val="1"/>
          <w:sz w:val="16"/>
          <w:szCs w:val="16"/>
          <w:lang w:val="uk-UA"/>
        </w:rPr>
        <w:t>19 943 тис. грн.</w:t>
      </w:r>
      <w:r w:rsidRPr="00C44B9C">
        <w:rPr>
          <w:rFonts w:ascii="Times New Roman" w:hAnsi="Times New Roman" w:cs="Times New Roman"/>
          <w:bCs/>
          <w:color w:val="000000"/>
          <w:kern w:val="1"/>
          <w:sz w:val="16"/>
          <w:szCs w:val="16"/>
          <w:lang w:val="uk-UA"/>
        </w:rPr>
        <w:t xml:space="preserve"> залишити нерозподіленим.  </w:t>
      </w:r>
    </w:p>
    <w:p w14:paraId="27BAB813" w14:textId="77777777" w:rsidR="006610E9" w:rsidRPr="00BC4AF9" w:rsidRDefault="00C228E1" w:rsidP="006610E9">
      <w:pPr>
        <w:suppressAutoHyphens/>
        <w:ind w:left="426"/>
        <w:jc w:val="both"/>
        <w:rPr>
          <w:rFonts w:ascii="Times New Roman" w:hAnsi="Times New Roman" w:cs="Times New Roman"/>
          <w:color w:val="000000"/>
          <w:kern w:val="1"/>
          <w:sz w:val="16"/>
          <w:szCs w:val="16"/>
          <w:lang w:val="uk-UA"/>
        </w:rPr>
      </w:pPr>
      <w:r w:rsidRPr="00C44B9C">
        <w:rPr>
          <w:rFonts w:ascii="Times New Roman" w:hAnsi="Times New Roman" w:cs="Times New Roman"/>
          <w:b/>
          <w:bCs/>
          <w:color w:val="000000"/>
          <w:kern w:val="1"/>
          <w:sz w:val="16"/>
          <w:szCs w:val="16"/>
          <w:lang w:val="uk-UA"/>
        </w:rPr>
        <w:t xml:space="preserve">8. </w:t>
      </w:r>
      <w:r w:rsidR="006610E9" w:rsidRPr="00BC4AF9">
        <w:rPr>
          <w:rFonts w:ascii="Times New Roman" w:hAnsi="Times New Roman" w:cs="Times New Roman"/>
          <w:b/>
          <w:color w:val="000000"/>
          <w:kern w:val="1"/>
          <w:sz w:val="16"/>
          <w:szCs w:val="16"/>
          <w:lang w:val="uk-UA"/>
        </w:rPr>
        <w:t>Прийняття рішення про попереднє надання згоди Товариству на вчинення правочинів, ринкова вартість майна, робіт або послуг, що є предметом таких правочинів, перевищує 25 відсотків вартості активів Товариства за даними останньої річної фінансової звітності Товариства.</w:t>
      </w:r>
    </w:p>
    <w:p w14:paraId="41348499" w14:textId="77777777" w:rsidR="006610E9" w:rsidRPr="00BC4AF9" w:rsidRDefault="006610E9" w:rsidP="006610E9">
      <w:pPr>
        <w:suppressAutoHyphens/>
        <w:ind w:left="426"/>
        <w:contextualSpacing/>
        <w:jc w:val="both"/>
        <w:rPr>
          <w:rFonts w:ascii="Times New Roman" w:hAnsi="Times New Roman" w:cs="Times New Roman"/>
          <w:color w:val="000000"/>
          <w:kern w:val="1"/>
          <w:sz w:val="16"/>
          <w:szCs w:val="16"/>
          <w:lang w:val="uk-UA"/>
        </w:rPr>
      </w:pPr>
      <w:r w:rsidRPr="00BC4AF9">
        <w:rPr>
          <w:rFonts w:ascii="Times New Roman" w:hAnsi="Times New Roman" w:cs="Times New Roman"/>
          <w:i/>
          <w:color w:val="000000"/>
          <w:kern w:val="1"/>
          <w:sz w:val="16"/>
          <w:szCs w:val="16"/>
          <w:u w:val="single"/>
          <w:lang w:val="uk-UA"/>
        </w:rPr>
        <w:t>Проект рішення:</w:t>
      </w:r>
      <w:r w:rsidRPr="00BC4AF9">
        <w:rPr>
          <w:rFonts w:ascii="Times New Roman" w:hAnsi="Times New Roman" w:cs="Times New Roman"/>
          <w:color w:val="000000"/>
          <w:kern w:val="1"/>
          <w:sz w:val="16"/>
          <w:szCs w:val="16"/>
          <w:lang w:val="uk-UA"/>
        </w:rPr>
        <w:t xml:space="preserve"> Попередньо надати згоду на вчинення Товариством значних правочинів, ринкова вартість майна, робіт або послуг, що є предметом кожного з таких правочинів більше 25% вартості активів Товариства за даними річної фінансової звітності за 2019 рік, а саме правочини, сукупна гранична вартість кожного з яких не перевищуватиме 90% вартості активів Товариства за даними останньої річної фінансової звітності (на кожен правочин), наступного характеру:</w:t>
      </w:r>
    </w:p>
    <w:p w14:paraId="58CDD2ED" w14:textId="16CFB74E" w:rsidR="00C228E1" w:rsidRPr="00BC4AF9" w:rsidRDefault="006610E9" w:rsidP="006610E9">
      <w:pPr>
        <w:suppressAutoHyphens/>
        <w:ind w:left="426"/>
        <w:jc w:val="both"/>
        <w:rPr>
          <w:rFonts w:ascii="Times New Roman" w:hAnsi="Times New Roman" w:cs="Times New Roman"/>
          <w:color w:val="000000"/>
          <w:kern w:val="1"/>
          <w:sz w:val="16"/>
          <w:szCs w:val="16"/>
          <w:lang w:val="uk-UA"/>
        </w:rPr>
      </w:pPr>
      <w:r w:rsidRPr="00BC4AF9">
        <w:rPr>
          <w:rFonts w:ascii="Times New Roman" w:hAnsi="Times New Roman" w:cs="Times New Roman"/>
          <w:color w:val="000000"/>
          <w:kern w:val="1"/>
          <w:sz w:val="16"/>
          <w:szCs w:val="16"/>
          <w:lang w:val="uk-UA"/>
        </w:rPr>
        <w:t xml:space="preserve"> </w:t>
      </w:r>
      <w:r w:rsidRPr="00BC4AF9">
        <w:rPr>
          <w:rFonts w:ascii="Times New Roman" w:hAnsi="Times New Roman" w:cs="Times New Roman"/>
          <w:color w:val="000000"/>
          <w:kern w:val="1"/>
          <w:sz w:val="16"/>
          <w:szCs w:val="16"/>
          <w:lang w:val="uk-UA"/>
        </w:rPr>
        <w:tab/>
        <w:t xml:space="preserve">правочини направлені на отримання Товариством поворотної фінансової допомоги, а також договорів іпотеки споруд, будівель, застави обладнання, транспортних засобів та іншого майна Товариства в забезпечення </w:t>
      </w:r>
      <w:proofErr w:type="spellStart"/>
      <w:r w:rsidRPr="00BC4AF9">
        <w:rPr>
          <w:rFonts w:ascii="Times New Roman" w:hAnsi="Times New Roman" w:cs="Times New Roman"/>
          <w:color w:val="000000"/>
          <w:kern w:val="1"/>
          <w:sz w:val="16"/>
          <w:szCs w:val="16"/>
          <w:lang w:val="uk-UA"/>
        </w:rPr>
        <w:t>зобов</w:t>
      </w:r>
      <w:proofErr w:type="spellEnd"/>
      <w:r w:rsidRPr="00BC4AF9">
        <w:rPr>
          <w:rFonts w:ascii="Times New Roman" w:hAnsi="Times New Roman" w:cs="Times New Roman"/>
          <w:color w:val="000000"/>
          <w:kern w:val="1"/>
          <w:sz w:val="16"/>
          <w:szCs w:val="16"/>
        </w:rPr>
        <w:t>’</w:t>
      </w:r>
      <w:proofErr w:type="spellStart"/>
      <w:r w:rsidRPr="00BC4AF9">
        <w:rPr>
          <w:rFonts w:ascii="Times New Roman" w:hAnsi="Times New Roman" w:cs="Times New Roman"/>
          <w:color w:val="000000"/>
          <w:kern w:val="1"/>
          <w:sz w:val="16"/>
          <w:szCs w:val="16"/>
          <w:lang w:val="uk-UA"/>
        </w:rPr>
        <w:t>язань</w:t>
      </w:r>
      <w:proofErr w:type="spellEnd"/>
      <w:r w:rsidRPr="00BC4AF9">
        <w:rPr>
          <w:rFonts w:ascii="Times New Roman" w:hAnsi="Times New Roman" w:cs="Times New Roman"/>
          <w:color w:val="000000"/>
          <w:kern w:val="1"/>
          <w:sz w:val="16"/>
          <w:szCs w:val="16"/>
          <w:lang w:val="uk-UA"/>
        </w:rPr>
        <w:t xml:space="preserve"> Товариства або третіх осіб, крім того: кредитні та депозитарні угоди (договори); угоди (договори) для забезпечення </w:t>
      </w:r>
      <w:proofErr w:type="spellStart"/>
      <w:r w:rsidRPr="00BC4AF9">
        <w:rPr>
          <w:rFonts w:ascii="Times New Roman" w:hAnsi="Times New Roman" w:cs="Times New Roman"/>
          <w:color w:val="000000"/>
          <w:kern w:val="1"/>
          <w:sz w:val="16"/>
          <w:szCs w:val="16"/>
          <w:lang w:val="uk-UA"/>
        </w:rPr>
        <w:t>зобов</w:t>
      </w:r>
      <w:proofErr w:type="spellEnd"/>
      <w:r w:rsidRPr="00BC4AF9">
        <w:rPr>
          <w:rFonts w:ascii="Times New Roman" w:hAnsi="Times New Roman" w:cs="Times New Roman"/>
          <w:color w:val="000000"/>
          <w:kern w:val="1"/>
          <w:sz w:val="16"/>
          <w:szCs w:val="16"/>
        </w:rPr>
        <w:t>’</w:t>
      </w:r>
      <w:proofErr w:type="spellStart"/>
      <w:r w:rsidRPr="00BC4AF9">
        <w:rPr>
          <w:rFonts w:ascii="Times New Roman" w:hAnsi="Times New Roman" w:cs="Times New Roman"/>
          <w:color w:val="000000"/>
          <w:kern w:val="1"/>
          <w:sz w:val="16"/>
          <w:szCs w:val="16"/>
          <w:lang w:val="uk-UA"/>
        </w:rPr>
        <w:t>язань</w:t>
      </w:r>
      <w:proofErr w:type="spellEnd"/>
      <w:r w:rsidRPr="00BC4AF9">
        <w:rPr>
          <w:rFonts w:ascii="Times New Roman" w:hAnsi="Times New Roman" w:cs="Times New Roman"/>
          <w:color w:val="000000"/>
          <w:kern w:val="1"/>
          <w:sz w:val="16"/>
          <w:szCs w:val="16"/>
          <w:lang w:val="uk-UA"/>
        </w:rPr>
        <w:t xml:space="preserve"> за договорами (угодами) укладеними Товариством або іншими суб’єктами господарювання (договори застави майна, іпотеки, поруки); 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 угоди щодо розпорядження рухомим майном як основними, так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 угоди (договори) будівельного підряду; лізингу; угоди (договори) щодо послуг рекламного, інформаційного, консультативного характеру; угоди (договори) щодо послуг по перевезенню, зберіганню, ремонту; угоди (договори) на проведення ремонтно-будівельних робіт; договори спільної діяльності та інші правочини, пов’язані з господарською діяльністю Товариства</w:t>
      </w:r>
      <w:r w:rsidR="00C228E1" w:rsidRPr="00BC4AF9">
        <w:rPr>
          <w:rFonts w:ascii="Times New Roman" w:hAnsi="Times New Roman" w:cs="Times New Roman"/>
          <w:color w:val="000000"/>
          <w:kern w:val="1"/>
          <w:sz w:val="16"/>
          <w:szCs w:val="16"/>
          <w:lang w:val="uk-UA"/>
        </w:rPr>
        <w:t xml:space="preserve">.     </w:t>
      </w:r>
    </w:p>
    <w:p w14:paraId="6B21B280" w14:textId="63ED43D7" w:rsidR="00C228E1" w:rsidRPr="00BC4AF9" w:rsidRDefault="00C228E1" w:rsidP="00C228E1">
      <w:pPr>
        <w:suppressAutoHyphens/>
        <w:ind w:left="426"/>
        <w:contextualSpacing/>
        <w:jc w:val="both"/>
        <w:rPr>
          <w:rFonts w:ascii="Times New Roman" w:hAnsi="Times New Roman" w:cs="Times New Roman"/>
          <w:b/>
          <w:color w:val="000000"/>
          <w:kern w:val="1"/>
          <w:sz w:val="16"/>
          <w:szCs w:val="16"/>
          <w:lang w:val="uk-UA"/>
        </w:rPr>
      </w:pPr>
      <w:r w:rsidRPr="00BC4AF9">
        <w:rPr>
          <w:rFonts w:ascii="Times New Roman" w:hAnsi="Times New Roman" w:cs="Times New Roman"/>
          <w:b/>
          <w:color w:val="000000"/>
          <w:kern w:val="1"/>
          <w:sz w:val="16"/>
          <w:szCs w:val="16"/>
          <w:lang w:val="uk-UA"/>
        </w:rPr>
        <w:t>9. Щодо обрання  суб’єкта аудиторської</w:t>
      </w:r>
      <w:r w:rsidR="00C44B9C" w:rsidRPr="00BC4AF9">
        <w:rPr>
          <w:rFonts w:ascii="Times New Roman" w:hAnsi="Times New Roman" w:cs="Times New Roman"/>
          <w:b/>
          <w:color w:val="000000"/>
          <w:kern w:val="1"/>
          <w:sz w:val="16"/>
          <w:szCs w:val="16"/>
          <w:lang w:val="uk-UA"/>
        </w:rPr>
        <w:t xml:space="preserve"> діяльності </w:t>
      </w:r>
      <w:r w:rsidRPr="00BC4AF9">
        <w:rPr>
          <w:rFonts w:ascii="Times New Roman" w:hAnsi="Times New Roman" w:cs="Times New Roman"/>
          <w:b/>
          <w:color w:val="000000"/>
          <w:kern w:val="1"/>
          <w:sz w:val="16"/>
          <w:szCs w:val="16"/>
          <w:lang w:val="uk-UA"/>
        </w:rPr>
        <w:t>для надання послуг з обов’язкового аудиту фінансової звітності Товариства за 2020 рік.</w:t>
      </w:r>
    </w:p>
    <w:p w14:paraId="06C9C1A1" w14:textId="31B05FF9" w:rsidR="00C228E1" w:rsidRPr="00BC4AF9" w:rsidRDefault="00C228E1" w:rsidP="00C44B9C">
      <w:pPr>
        <w:suppressAutoHyphens/>
        <w:ind w:left="426"/>
        <w:contextualSpacing/>
        <w:jc w:val="both"/>
        <w:rPr>
          <w:sz w:val="16"/>
          <w:szCs w:val="16"/>
          <w:lang w:val="uk-UA"/>
        </w:rPr>
      </w:pPr>
      <w:r w:rsidRPr="00BC4AF9">
        <w:rPr>
          <w:rFonts w:ascii="Times New Roman" w:hAnsi="Times New Roman" w:cs="Times New Roman"/>
          <w:sz w:val="16"/>
          <w:szCs w:val="16"/>
          <w:lang w:val="uk-UA"/>
        </w:rPr>
        <w:t xml:space="preserve"> </w:t>
      </w:r>
      <w:r w:rsidRPr="00BC4AF9">
        <w:rPr>
          <w:rFonts w:ascii="Times New Roman" w:hAnsi="Times New Roman" w:cs="Times New Roman"/>
          <w:i/>
          <w:color w:val="000000"/>
          <w:kern w:val="1"/>
          <w:sz w:val="16"/>
          <w:szCs w:val="16"/>
          <w:u w:val="single"/>
          <w:lang w:val="uk-UA"/>
        </w:rPr>
        <w:t>Проект рішення</w:t>
      </w:r>
      <w:r w:rsidRPr="00BC4AF9">
        <w:rPr>
          <w:rFonts w:ascii="Times New Roman" w:hAnsi="Times New Roman" w:cs="Times New Roman"/>
          <w:i/>
          <w:color w:val="000000"/>
          <w:kern w:val="1"/>
          <w:sz w:val="16"/>
          <w:szCs w:val="16"/>
          <w:lang w:val="uk-UA"/>
        </w:rPr>
        <w:t xml:space="preserve">: </w:t>
      </w:r>
      <w:r w:rsidR="00BC4AF9" w:rsidRPr="00BC4AF9">
        <w:rPr>
          <w:rFonts w:ascii="Times New Roman" w:eastAsia="Times New Roman" w:hAnsi="Times New Roman" w:cs="Times New Roman"/>
          <w:sz w:val="16"/>
          <w:szCs w:val="16"/>
          <w:lang w:val="uk-UA"/>
        </w:rPr>
        <w:t>З метою виконання вимог статті 29 Закону України «Про аудит фінансової звітності та аудиторську діяльність» уповноважити Наглядову раду Товариства обрати суб’єкта аудиторської діяльності для проведення обов’язкового аудиту річної фінансової звітності Товариства за 2020 рік</w:t>
      </w:r>
      <w:r w:rsidRPr="00BC4AF9">
        <w:rPr>
          <w:rFonts w:ascii="Times New Roman" w:hAnsi="Times New Roman" w:cs="Times New Roman"/>
          <w:color w:val="000000"/>
          <w:kern w:val="1"/>
          <w:sz w:val="16"/>
          <w:szCs w:val="16"/>
          <w:lang w:val="uk-UA"/>
        </w:rPr>
        <w:t xml:space="preserve">.  </w:t>
      </w:r>
    </w:p>
    <w:p w14:paraId="0515EAF9" w14:textId="77777777" w:rsidR="0042693B" w:rsidRPr="00C44B9C" w:rsidRDefault="0042693B" w:rsidP="0042693B">
      <w:pPr>
        <w:pStyle w:val="a4"/>
        <w:spacing w:before="0" w:beforeAutospacing="0" w:after="0" w:afterAutospacing="0"/>
        <w:ind w:left="720"/>
        <w:jc w:val="both"/>
        <w:rPr>
          <w:iCs/>
          <w:sz w:val="16"/>
          <w:szCs w:val="16"/>
          <w:lang w:val="uk-UA"/>
        </w:rPr>
      </w:pPr>
    </w:p>
    <w:p w14:paraId="34E40FC0" w14:textId="77777777" w:rsidR="0042693B" w:rsidRPr="00C44B9C" w:rsidRDefault="0042693B" w:rsidP="0042693B">
      <w:pPr>
        <w:pStyle w:val="a5"/>
        <w:ind w:left="0" w:firstLine="349"/>
        <w:jc w:val="both"/>
        <w:rPr>
          <w:i/>
          <w:iCs/>
          <w:sz w:val="16"/>
          <w:szCs w:val="16"/>
          <w:lang w:val="uk-UA" w:eastAsia="ar-SA"/>
        </w:rPr>
      </w:pPr>
      <w:r w:rsidRPr="00C44B9C">
        <w:rPr>
          <w:i/>
          <w:sz w:val="16"/>
          <w:szCs w:val="16"/>
          <w:lang w:val="uk-UA"/>
        </w:rPr>
        <w:t xml:space="preserve">Відповідно до статті 36 Закону України «Про акціонерні товариства», від дати надіслання цього повідомлення про проведення Зборів до дати проведення Зборів, акціонери мають можливість ознайомитися з документами, необхідними для прийняття рішень з питань порядку денного Зборів в порядку, передбаченому статтею 36 Закону України «Про акціонерні товариства», у приміщенні Товариства за адресою: </w:t>
      </w:r>
      <w:r w:rsidRPr="00C44B9C">
        <w:rPr>
          <w:bCs/>
          <w:i/>
          <w:iCs/>
          <w:sz w:val="16"/>
          <w:szCs w:val="16"/>
          <w:lang w:val="uk-UA"/>
        </w:rPr>
        <w:t xml:space="preserve">Україна, 57453, Миколаївська область, </w:t>
      </w:r>
      <w:proofErr w:type="spellStart"/>
      <w:r w:rsidRPr="00C44B9C">
        <w:rPr>
          <w:bCs/>
          <w:i/>
          <w:iCs/>
          <w:sz w:val="16"/>
          <w:szCs w:val="16"/>
          <w:lang w:val="uk-UA"/>
        </w:rPr>
        <w:t>Березанський</w:t>
      </w:r>
      <w:proofErr w:type="spellEnd"/>
      <w:r w:rsidRPr="00C44B9C">
        <w:rPr>
          <w:bCs/>
          <w:i/>
          <w:iCs/>
          <w:sz w:val="16"/>
          <w:szCs w:val="16"/>
          <w:lang w:val="uk-UA"/>
        </w:rPr>
        <w:t xml:space="preserve"> р-н, с. </w:t>
      </w:r>
      <w:proofErr w:type="spellStart"/>
      <w:r w:rsidRPr="00C44B9C">
        <w:rPr>
          <w:bCs/>
          <w:i/>
          <w:iCs/>
          <w:sz w:val="16"/>
          <w:szCs w:val="16"/>
          <w:lang w:val="uk-UA"/>
        </w:rPr>
        <w:t>Коблеве</w:t>
      </w:r>
      <w:proofErr w:type="spellEnd"/>
      <w:r w:rsidRPr="00C44B9C">
        <w:rPr>
          <w:bCs/>
          <w:i/>
          <w:iCs/>
          <w:sz w:val="16"/>
          <w:szCs w:val="16"/>
          <w:lang w:val="uk-UA"/>
        </w:rPr>
        <w:t>, вул. Одеська, 6</w:t>
      </w:r>
      <w:r w:rsidRPr="00C44B9C">
        <w:rPr>
          <w:i/>
          <w:sz w:val="16"/>
          <w:szCs w:val="16"/>
          <w:lang w:val="uk-UA" w:eastAsia="ar-SA"/>
        </w:rPr>
        <w:t xml:space="preserve">, актова зала № 1 щоденно (крім суботи та неділі) з 10:00 год. до 12:00 год., а в день проведення Зборів - також у місці їх проведення. </w:t>
      </w:r>
      <w:r w:rsidRPr="00C44B9C">
        <w:rPr>
          <w:i/>
          <w:iCs/>
          <w:sz w:val="16"/>
          <w:szCs w:val="16"/>
          <w:lang w:val="uk-UA" w:eastAsia="ar-SA"/>
        </w:rPr>
        <w:t xml:space="preserve">Відповідальною особою за порядок ознайомлення акціонерів із зазначеними документами є Генеральний директор Товариства </w:t>
      </w:r>
      <w:proofErr w:type="spellStart"/>
      <w:r w:rsidRPr="00C44B9C">
        <w:rPr>
          <w:i/>
          <w:iCs/>
          <w:sz w:val="16"/>
          <w:szCs w:val="16"/>
          <w:lang w:val="uk-UA" w:eastAsia="ar-SA"/>
        </w:rPr>
        <w:t>Рябошапко</w:t>
      </w:r>
      <w:proofErr w:type="spellEnd"/>
      <w:r w:rsidRPr="00C44B9C">
        <w:rPr>
          <w:i/>
          <w:iCs/>
          <w:sz w:val="16"/>
          <w:szCs w:val="16"/>
          <w:lang w:val="uk-UA" w:eastAsia="ar-SA"/>
        </w:rPr>
        <w:t xml:space="preserve"> В.Ф. Контактна особа – </w:t>
      </w:r>
      <w:proofErr w:type="spellStart"/>
      <w:r w:rsidRPr="00C44B9C">
        <w:rPr>
          <w:i/>
          <w:iCs/>
          <w:sz w:val="16"/>
          <w:szCs w:val="16"/>
          <w:lang w:val="uk-UA" w:eastAsia="ar-SA"/>
        </w:rPr>
        <w:t>Калашнікова</w:t>
      </w:r>
      <w:proofErr w:type="spellEnd"/>
      <w:r w:rsidRPr="00C44B9C">
        <w:rPr>
          <w:i/>
          <w:iCs/>
          <w:sz w:val="16"/>
          <w:szCs w:val="16"/>
          <w:lang w:val="uk-UA" w:eastAsia="ar-SA"/>
        </w:rPr>
        <w:t xml:space="preserve"> О.О.  Довідка за телефоном (05153) 20-100.</w:t>
      </w:r>
    </w:p>
    <w:p w14:paraId="2C3D028E" w14:textId="77777777" w:rsidR="0042693B" w:rsidRPr="00C44B9C" w:rsidRDefault="0042693B" w:rsidP="0042693B">
      <w:pPr>
        <w:pStyle w:val="a5"/>
        <w:ind w:left="0" w:firstLine="349"/>
        <w:jc w:val="both"/>
        <w:rPr>
          <w:i/>
          <w:sz w:val="16"/>
          <w:szCs w:val="16"/>
          <w:lang w:val="uk-UA"/>
        </w:rPr>
      </w:pPr>
      <w:r w:rsidRPr="00C44B9C">
        <w:rPr>
          <w:i/>
          <w:sz w:val="16"/>
          <w:szCs w:val="16"/>
          <w:lang w:val="uk-UA"/>
        </w:rPr>
        <w:t xml:space="preserve">Після надіслання акціонерам повідомлення про проведення </w:t>
      </w:r>
      <w:r w:rsidR="00993F55" w:rsidRPr="00C44B9C">
        <w:rPr>
          <w:i/>
          <w:sz w:val="16"/>
          <w:szCs w:val="16"/>
          <w:lang w:val="uk-UA"/>
        </w:rPr>
        <w:t>Зборів</w:t>
      </w:r>
      <w:r w:rsidRPr="00C44B9C">
        <w:rPr>
          <w:i/>
          <w:sz w:val="16"/>
          <w:szCs w:val="16"/>
          <w:lang w:val="uk-UA"/>
        </w:rPr>
        <w:t xml:space="preserve">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w:t>
      </w:r>
      <w:r w:rsidR="00993F55" w:rsidRPr="00C44B9C">
        <w:rPr>
          <w:i/>
          <w:sz w:val="16"/>
          <w:szCs w:val="16"/>
          <w:lang w:val="uk-UA"/>
        </w:rPr>
        <w:t xml:space="preserve"> Зборів </w:t>
      </w:r>
      <w:r w:rsidRPr="00C44B9C">
        <w:rPr>
          <w:i/>
          <w:sz w:val="16"/>
          <w:szCs w:val="16"/>
          <w:lang w:val="uk-UA"/>
        </w:rPr>
        <w:t xml:space="preserve"> чи у зв'язку з виправленням помилок. У такому разі зміни вносяться не пізніше ніж за 10 днів до дати проведення </w:t>
      </w:r>
      <w:r w:rsidR="00993F55" w:rsidRPr="00C44B9C">
        <w:rPr>
          <w:i/>
          <w:sz w:val="16"/>
          <w:szCs w:val="16"/>
          <w:lang w:val="uk-UA"/>
        </w:rPr>
        <w:t>З</w:t>
      </w:r>
      <w:r w:rsidRPr="00C44B9C">
        <w:rPr>
          <w:i/>
          <w:sz w:val="16"/>
          <w:szCs w:val="16"/>
          <w:lang w:val="uk-UA"/>
        </w:rPr>
        <w:t xml:space="preserve">борів, а щодо кандидатів до складу органів товариства - не пізніше ніж за 4 дні до дати проведення </w:t>
      </w:r>
      <w:r w:rsidR="00993F55" w:rsidRPr="00C44B9C">
        <w:rPr>
          <w:i/>
          <w:sz w:val="16"/>
          <w:szCs w:val="16"/>
          <w:lang w:val="uk-UA"/>
        </w:rPr>
        <w:t>З</w:t>
      </w:r>
      <w:r w:rsidRPr="00C44B9C">
        <w:rPr>
          <w:i/>
          <w:sz w:val="16"/>
          <w:szCs w:val="16"/>
          <w:lang w:val="uk-UA"/>
        </w:rPr>
        <w:t>борів.</w:t>
      </w:r>
    </w:p>
    <w:p w14:paraId="3B97D834" w14:textId="77777777" w:rsidR="0042693B" w:rsidRPr="00C44B9C" w:rsidRDefault="00993F55" w:rsidP="00993F55">
      <w:pPr>
        <w:jc w:val="both"/>
        <w:rPr>
          <w:rFonts w:ascii="Times New Roman" w:hAnsi="Times New Roman" w:cs="Times New Roman"/>
          <w:i/>
          <w:sz w:val="16"/>
          <w:szCs w:val="16"/>
          <w:lang w:val="uk-UA"/>
        </w:rPr>
      </w:pPr>
      <w:r w:rsidRPr="00C44B9C">
        <w:rPr>
          <w:rFonts w:ascii="Times New Roman" w:hAnsi="Times New Roman" w:cs="Times New Roman"/>
          <w:i/>
          <w:sz w:val="16"/>
          <w:szCs w:val="16"/>
          <w:lang w:val="uk-UA"/>
        </w:rPr>
        <w:t xml:space="preserve">        Товариство до початку </w:t>
      </w:r>
      <w:r w:rsidR="0042693B" w:rsidRPr="00C44B9C">
        <w:rPr>
          <w:rFonts w:ascii="Times New Roman" w:hAnsi="Times New Roman" w:cs="Times New Roman"/>
          <w:i/>
          <w:sz w:val="16"/>
          <w:szCs w:val="16"/>
          <w:lang w:val="uk-UA"/>
        </w:rPr>
        <w:t xml:space="preserve"> </w:t>
      </w:r>
      <w:r w:rsidRPr="00C44B9C">
        <w:rPr>
          <w:rFonts w:ascii="Times New Roman" w:hAnsi="Times New Roman" w:cs="Times New Roman"/>
          <w:i/>
          <w:sz w:val="16"/>
          <w:szCs w:val="16"/>
          <w:lang w:val="uk-UA"/>
        </w:rPr>
        <w:t>З</w:t>
      </w:r>
      <w:r w:rsidR="0042693B" w:rsidRPr="00C44B9C">
        <w:rPr>
          <w:rFonts w:ascii="Times New Roman" w:hAnsi="Times New Roman" w:cs="Times New Roman"/>
          <w:i/>
          <w:sz w:val="16"/>
          <w:szCs w:val="16"/>
          <w:lang w:val="uk-UA"/>
        </w:rPr>
        <w:t xml:space="preserve">борів зобов’язане надавати письмові відповіді на письмові запитання акціонерів щодо питань, включених до проекту порядку денного </w:t>
      </w:r>
      <w:r w:rsidRPr="00C44B9C">
        <w:rPr>
          <w:rFonts w:ascii="Times New Roman" w:hAnsi="Times New Roman" w:cs="Times New Roman"/>
          <w:i/>
          <w:sz w:val="16"/>
          <w:szCs w:val="16"/>
          <w:lang w:val="uk-UA"/>
        </w:rPr>
        <w:t>З</w:t>
      </w:r>
      <w:r w:rsidR="0042693B" w:rsidRPr="00C44B9C">
        <w:rPr>
          <w:rFonts w:ascii="Times New Roman" w:hAnsi="Times New Roman" w:cs="Times New Roman"/>
          <w:i/>
          <w:sz w:val="16"/>
          <w:szCs w:val="16"/>
          <w:lang w:val="uk-UA"/>
        </w:rPr>
        <w:t xml:space="preserve">борів та порядку денного </w:t>
      </w:r>
      <w:r w:rsidRPr="00C44B9C">
        <w:rPr>
          <w:rFonts w:ascii="Times New Roman" w:hAnsi="Times New Roman" w:cs="Times New Roman"/>
          <w:i/>
          <w:sz w:val="16"/>
          <w:szCs w:val="16"/>
          <w:lang w:val="uk-UA"/>
        </w:rPr>
        <w:t>З</w:t>
      </w:r>
      <w:r w:rsidR="0042693B" w:rsidRPr="00C44B9C">
        <w:rPr>
          <w:rFonts w:ascii="Times New Roman" w:hAnsi="Times New Roman" w:cs="Times New Roman"/>
          <w:i/>
          <w:sz w:val="16"/>
          <w:szCs w:val="16"/>
          <w:lang w:val="uk-UA"/>
        </w:rPr>
        <w:t xml:space="preserve">борів до дати проведення загальних зборів. У разі внесення змін до проекту порядку денного </w:t>
      </w:r>
      <w:r w:rsidRPr="00C44B9C">
        <w:rPr>
          <w:rFonts w:ascii="Times New Roman" w:hAnsi="Times New Roman" w:cs="Times New Roman"/>
          <w:i/>
          <w:sz w:val="16"/>
          <w:szCs w:val="16"/>
          <w:lang w:val="uk-UA"/>
        </w:rPr>
        <w:t>З</w:t>
      </w:r>
      <w:r w:rsidR="0042693B" w:rsidRPr="00C44B9C">
        <w:rPr>
          <w:rFonts w:ascii="Times New Roman" w:hAnsi="Times New Roman" w:cs="Times New Roman"/>
          <w:i/>
          <w:sz w:val="16"/>
          <w:szCs w:val="16"/>
          <w:lang w:val="uk-UA"/>
        </w:rPr>
        <w:t>борів Товариство не пізніше ніж</w:t>
      </w:r>
      <w:r w:rsidRPr="00C44B9C">
        <w:rPr>
          <w:rFonts w:ascii="Times New Roman" w:hAnsi="Times New Roman" w:cs="Times New Roman"/>
          <w:i/>
          <w:sz w:val="16"/>
          <w:szCs w:val="16"/>
          <w:lang w:val="uk-UA"/>
        </w:rPr>
        <w:t xml:space="preserve"> за 10 днів до дати проведення З</w:t>
      </w:r>
      <w:r w:rsidR="0042693B" w:rsidRPr="00C44B9C">
        <w:rPr>
          <w:rFonts w:ascii="Times New Roman" w:hAnsi="Times New Roman" w:cs="Times New Roman"/>
          <w:i/>
          <w:sz w:val="16"/>
          <w:szCs w:val="16"/>
          <w:lang w:val="uk-UA"/>
        </w:rPr>
        <w:t>борів Товариства повідомляє акціонерів про такі зміни у порядку передбаченому Статутом Товариства.</w:t>
      </w:r>
    </w:p>
    <w:p w14:paraId="4B4E1BD5" w14:textId="77777777" w:rsidR="0042693B" w:rsidRPr="00C44B9C" w:rsidRDefault="0042693B" w:rsidP="0042693B">
      <w:pPr>
        <w:ind w:firstLine="709"/>
        <w:jc w:val="both"/>
        <w:rPr>
          <w:rFonts w:ascii="Times New Roman" w:hAnsi="Times New Roman" w:cs="Times New Roman"/>
          <w:i/>
          <w:sz w:val="16"/>
          <w:szCs w:val="16"/>
          <w:lang w:val="uk-UA"/>
        </w:rPr>
      </w:pPr>
      <w:r w:rsidRPr="00C44B9C">
        <w:rPr>
          <w:rFonts w:ascii="Times New Roman" w:hAnsi="Times New Roman" w:cs="Times New Roman"/>
          <w:i/>
          <w:sz w:val="16"/>
          <w:szCs w:val="16"/>
          <w:lang w:val="uk-UA"/>
        </w:rPr>
        <w:t>Відповідно до статті 38 Закону України «Про акціонерні товариства», кожний акціонер має право внести пропозиції щодо питань, включених до проекту порядку денного Зборів. Пропозиції вносяться не пізніше ніж за 20 днів до дати проведення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w:t>
      </w:r>
      <w:r w:rsidR="00993F55" w:rsidRPr="00C44B9C">
        <w:rPr>
          <w:rFonts w:ascii="Times New Roman" w:hAnsi="Times New Roman" w:cs="Times New Roman"/>
          <w:i/>
          <w:sz w:val="16"/>
          <w:szCs w:val="16"/>
          <w:lang w:val="uk-UA"/>
        </w:rPr>
        <w:t xml:space="preserve"> Зборів</w:t>
      </w:r>
      <w:r w:rsidRPr="00C44B9C">
        <w:rPr>
          <w:rFonts w:ascii="Times New Roman" w:hAnsi="Times New Roman" w:cs="Times New Roman"/>
          <w:i/>
          <w:sz w:val="16"/>
          <w:szCs w:val="16"/>
          <w:lang w:val="uk-UA"/>
        </w:rPr>
        <w:t xml:space="preserve">, якщо вона подана з дотриманням вимог статті 38 Закону України </w:t>
      </w:r>
      <w:proofErr w:type="spellStart"/>
      <w:r w:rsidRPr="00C44B9C">
        <w:rPr>
          <w:rFonts w:ascii="Times New Roman" w:hAnsi="Times New Roman" w:cs="Times New Roman"/>
          <w:i/>
          <w:sz w:val="16"/>
          <w:szCs w:val="16"/>
          <w:lang w:val="uk-UA"/>
        </w:rPr>
        <w:t>„Про</w:t>
      </w:r>
      <w:proofErr w:type="spellEnd"/>
      <w:r w:rsidRPr="00C44B9C">
        <w:rPr>
          <w:rFonts w:ascii="Times New Roman" w:hAnsi="Times New Roman" w:cs="Times New Roman"/>
          <w:i/>
          <w:sz w:val="16"/>
          <w:szCs w:val="16"/>
          <w:lang w:val="uk-UA"/>
        </w:rPr>
        <w:t xml:space="preserve"> акціонерні товариства”.</w:t>
      </w:r>
    </w:p>
    <w:p w14:paraId="0E8E8529" w14:textId="77777777" w:rsidR="0042693B" w:rsidRPr="00C44B9C" w:rsidRDefault="0042693B" w:rsidP="0042693B">
      <w:pPr>
        <w:ind w:firstLine="709"/>
        <w:jc w:val="both"/>
        <w:rPr>
          <w:rFonts w:ascii="Times New Roman" w:hAnsi="Times New Roman" w:cs="Times New Roman"/>
          <w:i/>
          <w:color w:val="FF0000"/>
          <w:sz w:val="16"/>
          <w:szCs w:val="16"/>
          <w:lang w:val="uk-UA"/>
        </w:rPr>
      </w:pPr>
      <w:r w:rsidRPr="00C44B9C">
        <w:rPr>
          <w:rFonts w:ascii="Times New Roman" w:hAnsi="Times New Roman" w:cs="Times New Roman"/>
          <w:i/>
          <w:sz w:val="16"/>
          <w:szCs w:val="16"/>
          <w:lang w:val="uk-UA"/>
        </w:rPr>
        <w:lastRenderedPageBreak/>
        <w:t xml:space="preserve">Оскарження акціонером рішення </w:t>
      </w:r>
      <w:r w:rsidR="00993F55" w:rsidRPr="00C44B9C">
        <w:rPr>
          <w:rFonts w:ascii="Times New Roman" w:hAnsi="Times New Roman" w:cs="Times New Roman"/>
          <w:i/>
          <w:sz w:val="16"/>
          <w:szCs w:val="16"/>
          <w:lang w:val="uk-UA"/>
        </w:rPr>
        <w:t>Т</w:t>
      </w:r>
      <w:r w:rsidRPr="00C44B9C">
        <w:rPr>
          <w:rFonts w:ascii="Times New Roman" w:hAnsi="Times New Roman" w:cs="Times New Roman"/>
          <w:i/>
          <w:sz w:val="16"/>
          <w:szCs w:val="16"/>
          <w:lang w:val="uk-UA"/>
        </w:rPr>
        <w:t>овариства про відмову у включенні його пропозицій до проекту порядку денного</w:t>
      </w:r>
      <w:r w:rsidR="00993F55" w:rsidRPr="00C44B9C">
        <w:rPr>
          <w:rFonts w:ascii="Times New Roman" w:hAnsi="Times New Roman" w:cs="Times New Roman"/>
          <w:i/>
          <w:sz w:val="16"/>
          <w:szCs w:val="16"/>
          <w:lang w:val="uk-UA"/>
        </w:rPr>
        <w:t xml:space="preserve"> Зборів</w:t>
      </w:r>
      <w:r w:rsidRPr="00C44B9C">
        <w:rPr>
          <w:rFonts w:ascii="Times New Roman" w:hAnsi="Times New Roman" w:cs="Times New Roman"/>
          <w:i/>
          <w:sz w:val="16"/>
          <w:szCs w:val="16"/>
          <w:lang w:val="uk-UA"/>
        </w:rPr>
        <w:t xml:space="preserve"> до суду не зупиняє проведення </w:t>
      </w:r>
      <w:r w:rsidR="00993F55" w:rsidRPr="00C44B9C">
        <w:rPr>
          <w:rFonts w:ascii="Times New Roman" w:hAnsi="Times New Roman" w:cs="Times New Roman"/>
          <w:i/>
          <w:sz w:val="16"/>
          <w:szCs w:val="16"/>
          <w:lang w:val="uk-UA"/>
        </w:rPr>
        <w:t>Зборів</w:t>
      </w:r>
      <w:r w:rsidRPr="00C44B9C">
        <w:rPr>
          <w:rFonts w:ascii="Times New Roman" w:hAnsi="Times New Roman" w:cs="Times New Roman"/>
          <w:i/>
          <w:sz w:val="16"/>
          <w:szCs w:val="16"/>
          <w:lang w:val="uk-UA"/>
        </w:rPr>
        <w:t xml:space="preserve">. Суд за результатами розгляду справи може постановити рішення про зобов'язання </w:t>
      </w:r>
      <w:r w:rsidR="00993F55" w:rsidRPr="00C44B9C">
        <w:rPr>
          <w:rFonts w:ascii="Times New Roman" w:hAnsi="Times New Roman" w:cs="Times New Roman"/>
          <w:i/>
          <w:sz w:val="16"/>
          <w:szCs w:val="16"/>
          <w:lang w:val="uk-UA"/>
        </w:rPr>
        <w:t>Т</w:t>
      </w:r>
      <w:r w:rsidRPr="00C44B9C">
        <w:rPr>
          <w:rFonts w:ascii="Times New Roman" w:hAnsi="Times New Roman" w:cs="Times New Roman"/>
          <w:i/>
          <w:sz w:val="16"/>
          <w:szCs w:val="16"/>
          <w:lang w:val="uk-UA"/>
        </w:rPr>
        <w:t>овариства провести загальні збори з питання, у включенні якого до проекту порядку денного було безпідставно відмовлено акціонеру.</w:t>
      </w:r>
    </w:p>
    <w:p w14:paraId="0C973403" w14:textId="77777777" w:rsidR="0042693B" w:rsidRPr="00C44B9C" w:rsidRDefault="0042693B" w:rsidP="0042693B">
      <w:pPr>
        <w:pStyle w:val="a5"/>
        <w:ind w:left="0" w:firstLine="709"/>
        <w:jc w:val="both"/>
        <w:rPr>
          <w:sz w:val="16"/>
          <w:szCs w:val="16"/>
          <w:lang w:val="uk-UA"/>
        </w:rPr>
      </w:pPr>
      <w:r w:rsidRPr="00C44B9C">
        <w:rPr>
          <w:i/>
          <w:sz w:val="16"/>
          <w:szCs w:val="16"/>
          <w:lang w:val="uk-UA" w:eastAsia="ar-SA"/>
        </w:rPr>
        <w:t xml:space="preserve">Для  реєстрації та участі у Зборах акціонер повинен мати при собі </w:t>
      </w:r>
      <w:r w:rsidR="005A5F55" w:rsidRPr="00C44B9C">
        <w:rPr>
          <w:i/>
          <w:sz w:val="16"/>
          <w:szCs w:val="16"/>
          <w:lang w:val="uk-UA" w:eastAsia="ar-SA"/>
        </w:rPr>
        <w:t>документ, якій ідентифікує особу акціонера</w:t>
      </w:r>
      <w:r w:rsidRPr="00C44B9C">
        <w:rPr>
          <w:i/>
          <w:sz w:val="16"/>
          <w:szCs w:val="16"/>
          <w:lang w:val="uk-UA" w:eastAsia="ar-SA"/>
        </w:rPr>
        <w:t xml:space="preserve">, а </w:t>
      </w:r>
      <w:r w:rsidR="005A5F55" w:rsidRPr="00C44B9C">
        <w:rPr>
          <w:i/>
          <w:sz w:val="16"/>
          <w:szCs w:val="16"/>
          <w:lang w:val="uk-UA" w:eastAsia="ar-SA"/>
        </w:rPr>
        <w:t xml:space="preserve">у разі участі </w:t>
      </w:r>
      <w:r w:rsidRPr="00C44B9C">
        <w:rPr>
          <w:i/>
          <w:sz w:val="16"/>
          <w:szCs w:val="16"/>
          <w:lang w:val="uk-UA" w:eastAsia="ar-SA"/>
        </w:rPr>
        <w:t>представник</w:t>
      </w:r>
      <w:r w:rsidR="005A5F55" w:rsidRPr="00C44B9C">
        <w:rPr>
          <w:i/>
          <w:sz w:val="16"/>
          <w:szCs w:val="16"/>
          <w:lang w:val="uk-UA" w:eastAsia="ar-SA"/>
        </w:rPr>
        <w:t>а</w:t>
      </w:r>
      <w:r w:rsidRPr="00C44B9C">
        <w:rPr>
          <w:i/>
          <w:sz w:val="16"/>
          <w:szCs w:val="16"/>
          <w:lang w:val="uk-UA" w:eastAsia="ar-SA"/>
        </w:rPr>
        <w:t xml:space="preserve"> акціонера –</w:t>
      </w:r>
      <w:r w:rsidR="005A5F55" w:rsidRPr="00C44B9C">
        <w:rPr>
          <w:i/>
          <w:sz w:val="16"/>
          <w:szCs w:val="16"/>
          <w:lang w:val="uk-UA" w:eastAsia="ar-SA"/>
        </w:rPr>
        <w:t xml:space="preserve"> також </w:t>
      </w:r>
      <w:r w:rsidRPr="00C44B9C">
        <w:rPr>
          <w:i/>
          <w:sz w:val="16"/>
          <w:szCs w:val="16"/>
          <w:lang w:val="uk-UA" w:eastAsia="ar-SA"/>
        </w:rPr>
        <w:t xml:space="preserve"> відповідну довіреність оформлену згідно з чинним законодавством України.</w:t>
      </w:r>
    </w:p>
    <w:p w14:paraId="1FB320D2" w14:textId="77777777" w:rsidR="0042693B" w:rsidRPr="00C44B9C" w:rsidRDefault="0042693B" w:rsidP="0042693B">
      <w:pPr>
        <w:pStyle w:val="a5"/>
        <w:ind w:left="0" w:firstLine="709"/>
        <w:jc w:val="both"/>
        <w:rPr>
          <w:i/>
          <w:sz w:val="16"/>
          <w:szCs w:val="16"/>
          <w:lang w:val="uk-UA" w:eastAsia="ar-SA"/>
        </w:rPr>
      </w:pPr>
      <w:r w:rsidRPr="00C44B9C">
        <w:rPr>
          <w:i/>
          <w:sz w:val="16"/>
          <w:szCs w:val="16"/>
          <w:lang w:val="uk-UA" w:eastAsia="ar-SA"/>
        </w:rPr>
        <w:t>Довіреність на право участі та голосування на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порядку. Довіреність на право участі та голосування на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Зборах може містити завдання щодо голосування, тобто перелік питань, порядку денного Зборів із зазначенням того, як і за яке (проти якого) рішення потрібно проголосувати. Під час голосування на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Зборах на свій розсуд. Акціонер має право видати довіреність на право участі та голосування на Зборах декільком своїм представникам. Акціонер має право у будь-який час відкликати чи замінити свого представника на Зборах. Надання довіреності на право участі та голосування на Зборах не виключає право участі на цих Зборах акціонера, який видав довіреність, замість свого представника. У разі, якщо для участі в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Зборах  здійснюється за їх згодою одним із співвласників або їх загальним представником.</w:t>
      </w:r>
    </w:p>
    <w:p w14:paraId="35FEE7F0" w14:textId="77777777" w:rsidR="0042693B" w:rsidRPr="00D52030" w:rsidRDefault="0042693B" w:rsidP="0042693B">
      <w:pPr>
        <w:pStyle w:val="a5"/>
        <w:ind w:left="0" w:firstLine="349"/>
        <w:jc w:val="both"/>
        <w:rPr>
          <w:sz w:val="16"/>
          <w:szCs w:val="16"/>
          <w:lang w:val="uk-UA"/>
        </w:rPr>
      </w:pPr>
      <w:r w:rsidRPr="00C44B9C">
        <w:rPr>
          <w:i/>
          <w:sz w:val="16"/>
          <w:szCs w:val="16"/>
          <w:lang w:val="uk-UA" w:eastAsia="ar-SA"/>
        </w:rPr>
        <w:t>Станом на дату складання переліку акціонерів, яким надсилається повідомлення про проведення Зборів загальна кількість акцій Товариства становить 16</w:t>
      </w:r>
      <w:r w:rsidRPr="00C44B9C">
        <w:rPr>
          <w:i/>
          <w:sz w:val="16"/>
          <w:szCs w:val="16"/>
          <w:lang w:eastAsia="ar-SA"/>
        </w:rPr>
        <w:t> </w:t>
      </w:r>
      <w:r w:rsidRPr="00C44B9C">
        <w:rPr>
          <w:i/>
          <w:sz w:val="16"/>
          <w:szCs w:val="16"/>
          <w:lang w:val="uk-UA" w:eastAsia="ar-SA"/>
        </w:rPr>
        <w:t>949</w:t>
      </w:r>
      <w:r w:rsidRPr="00C44B9C">
        <w:rPr>
          <w:i/>
          <w:sz w:val="16"/>
          <w:szCs w:val="16"/>
          <w:lang w:eastAsia="ar-SA"/>
        </w:rPr>
        <w:t> </w:t>
      </w:r>
      <w:r w:rsidRPr="00C44B9C">
        <w:rPr>
          <w:i/>
          <w:sz w:val="16"/>
          <w:szCs w:val="16"/>
          <w:lang w:val="uk-UA" w:eastAsia="ar-SA"/>
        </w:rPr>
        <w:t>408 штук (Шістнадцять мільйонів дев’ятсот сорок дев’ять тисяч чотириста вісім) простих іменних акцій.</w:t>
      </w:r>
      <w:r w:rsidRPr="00C44B9C">
        <w:rPr>
          <w:i/>
          <w:color w:val="FF0000"/>
          <w:sz w:val="16"/>
          <w:szCs w:val="16"/>
          <w:lang w:val="uk-UA" w:eastAsia="ar-SA"/>
        </w:rPr>
        <w:t xml:space="preserve"> </w:t>
      </w:r>
      <w:r w:rsidRPr="00D52030">
        <w:rPr>
          <w:i/>
          <w:sz w:val="16"/>
          <w:szCs w:val="16"/>
          <w:lang w:val="uk-UA" w:eastAsia="ar-SA"/>
        </w:rPr>
        <w:t>Загальна кількість голосуючих простих іменних акцій становить 16</w:t>
      </w:r>
      <w:r w:rsidRPr="00D52030">
        <w:rPr>
          <w:i/>
          <w:sz w:val="16"/>
          <w:szCs w:val="16"/>
          <w:lang w:eastAsia="ar-SA"/>
        </w:rPr>
        <w:t> </w:t>
      </w:r>
      <w:r w:rsidRPr="00D52030">
        <w:rPr>
          <w:i/>
          <w:sz w:val="16"/>
          <w:szCs w:val="16"/>
          <w:lang w:val="uk-UA" w:eastAsia="ar-SA"/>
        </w:rPr>
        <w:t>887</w:t>
      </w:r>
      <w:r w:rsidRPr="00D52030">
        <w:rPr>
          <w:i/>
          <w:sz w:val="16"/>
          <w:szCs w:val="16"/>
          <w:lang w:eastAsia="ar-SA"/>
        </w:rPr>
        <w:t> </w:t>
      </w:r>
      <w:r w:rsidRPr="00D52030">
        <w:rPr>
          <w:i/>
          <w:sz w:val="16"/>
          <w:szCs w:val="16"/>
          <w:lang w:val="uk-UA" w:eastAsia="ar-SA"/>
        </w:rPr>
        <w:t>395 штук (Шістнадцять мільйонів вісімсот вісімдесят сім тисяч триста дев’яносто п‘ять).</w:t>
      </w:r>
    </w:p>
    <w:p w14:paraId="0F14BF40" w14:textId="77777777" w:rsidR="0042693B" w:rsidRPr="00C44B9C" w:rsidRDefault="0042693B" w:rsidP="0042693B">
      <w:pPr>
        <w:pStyle w:val="a5"/>
        <w:ind w:left="0" w:firstLine="349"/>
        <w:jc w:val="both"/>
        <w:rPr>
          <w:rStyle w:val="a3"/>
          <w:b/>
          <w:bCs/>
          <w:i/>
          <w:iCs/>
          <w:sz w:val="16"/>
          <w:szCs w:val="16"/>
          <w:lang w:eastAsia="ar-SA"/>
        </w:rPr>
      </w:pPr>
      <w:r w:rsidRPr="00C44B9C">
        <w:rPr>
          <w:i/>
          <w:iCs/>
          <w:sz w:val="16"/>
          <w:szCs w:val="16"/>
          <w:lang w:val="uk-UA"/>
        </w:rPr>
        <w:t xml:space="preserve">З інформацією щодо проекту порядку денного та проектів рішень з кожного питання, включеного до проекту порядку денного </w:t>
      </w:r>
      <w:r w:rsidRPr="00C44B9C">
        <w:rPr>
          <w:i/>
          <w:iCs/>
          <w:sz w:val="16"/>
          <w:szCs w:val="16"/>
          <w:lang w:val="uk-UA" w:eastAsia="ar-SA"/>
        </w:rPr>
        <w:t>Зборів</w:t>
      </w:r>
      <w:r w:rsidRPr="00C44B9C">
        <w:rPr>
          <w:i/>
          <w:iCs/>
          <w:sz w:val="16"/>
          <w:szCs w:val="16"/>
          <w:lang w:val="uk-UA"/>
        </w:rPr>
        <w:t xml:space="preserve">, можна ознайомитися за адресою веб-сайту Товариства – </w:t>
      </w:r>
      <w:hyperlink r:id="rId6" w:history="1">
        <w:r w:rsidRPr="00C44B9C">
          <w:rPr>
            <w:rStyle w:val="a3"/>
            <w:b/>
            <w:bCs/>
            <w:i/>
            <w:iCs/>
            <w:sz w:val="16"/>
            <w:szCs w:val="16"/>
            <w:lang w:eastAsia="ar-SA"/>
          </w:rPr>
          <w:t>http://</w:t>
        </w:r>
        <w:r w:rsidRPr="00C44B9C">
          <w:rPr>
            <w:rStyle w:val="a3"/>
            <w:b/>
            <w:bCs/>
            <w:i/>
            <w:iCs/>
            <w:sz w:val="16"/>
            <w:szCs w:val="16"/>
            <w:lang w:val="en-US" w:eastAsia="ar-SA"/>
          </w:rPr>
          <w:t>www</w:t>
        </w:r>
        <w:r w:rsidRPr="00C44B9C">
          <w:rPr>
            <w:rStyle w:val="a3"/>
            <w:b/>
            <w:bCs/>
            <w:i/>
            <w:iCs/>
            <w:sz w:val="16"/>
            <w:szCs w:val="16"/>
            <w:lang w:eastAsia="ar-SA"/>
          </w:rPr>
          <w:t>.</w:t>
        </w:r>
        <w:proofErr w:type="spellStart"/>
        <w:r w:rsidRPr="00C44B9C">
          <w:rPr>
            <w:rStyle w:val="a3"/>
            <w:b/>
            <w:bCs/>
            <w:i/>
            <w:iCs/>
            <w:sz w:val="16"/>
            <w:szCs w:val="16"/>
            <w:lang w:val="en-US" w:eastAsia="ar-SA"/>
          </w:rPr>
          <w:t>koblevo</w:t>
        </w:r>
        <w:proofErr w:type="spellEnd"/>
        <w:r w:rsidRPr="00C44B9C">
          <w:rPr>
            <w:rStyle w:val="a3"/>
            <w:b/>
            <w:bCs/>
            <w:i/>
            <w:iCs/>
            <w:sz w:val="16"/>
            <w:szCs w:val="16"/>
            <w:lang w:eastAsia="ar-SA"/>
          </w:rPr>
          <w:t>.</w:t>
        </w:r>
        <w:proofErr w:type="spellStart"/>
        <w:r w:rsidRPr="00C44B9C">
          <w:rPr>
            <w:rStyle w:val="a3"/>
            <w:b/>
            <w:bCs/>
            <w:i/>
            <w:iCs/>
            <w:sz w:val="16"/>
            <w:szCs w:val="16"/>
            <w:lang w:val="en-US" w:eastAsia="ar-SA"/>
          </w:rPr>
          <w:t>ua</w:t>
        </w:r>
        <w:proofErr w:type="spellEnd"/>
      </w:hyperlink>
    </w:p>
    <w:p w14:paraId="29F9C4A8" w14:textId="77777777" w:rsidR="00B832DE" w:rsidRPr="00B832DE" w:rsidRDefault="00B832DE" w:rsidP="00B832DE">
      <w:pPr>
        <w:tabs>
          <w:tab w:val="left" w:pos="142"/>
          <w:tab w:val="left" w:pos="284"/>
        </w:tabs>
        <w:jc w:val="center"/>
        <w:rPr>
          <w:rFonts w:ascii="Times New Roman" w:hAnsi="Times New Roman" w:cs="Times New Roman"/>
          <w:b/>
          <w:sz w:val="20"/>
          <w:szCs w:val="20"/>
          <w:lang w:val="uk-UA"/>
        </w:rPr>
      </w:pPr>
      <w:r w:rsidRPr="00B832DE">
        <w:rPr>
          <w:rFonts w:ascii="Times New Roman" w:hAnsi="Times New Roman" w:cs="Times New Roman"/>
          <w:b/>
          <w:sz w:val="20"/>
          <w:szCs w:val="20"/>
          <w:lang w:val="uk-UA"/>
        </w:rPr>
        <w:t>Основні показники фінансово-господарської діяльності АТ «КОБЛЕВО», тис. грн.</w:t>
      </w:r>
    </w:p>
    <w:tbl>
      <w:tblPr>
        <w:tblW w:w="4946" w:type="pct"/>
        <w:tblInd w:w="-1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749"/>
        <w:gridCol w:w="1462"/>
        <w:gridCol w:w="1462"/>
      </w:tblGrid>
      <w:tr w:rsidR="00B832DE" w:rsidRPr="00B832DE" w14:paraId="114CCE5C" w14:textId="77777777" w:rsidTr="003908AD">
        <w:tc>
          <w:tcPr>
            <w:tcW w:w="3630" w:type="pct"/>
            <w:vMerge w:val="restart"/>
            <w:vAlign w:val="center"/>
          </w:tcPr>
          <w:p w14:paraId="6DFA22AA" w14:textId="77777777" w:rsidR="00B832DE" w:rsidRPr="00B832DE" w:rsidRDefault="00B832DE" w:rsidP="003908AD">
            <w:pPr>
              <w:pStyle w:val="a4"/>
              <w:jc w:val="center"/>
              <w:rPr>
                <w:sz w:val="16"/>
                <w:szCs w:val="16"/>
                <w:lang w:val="uk-UA"/>
              </w:rPr>
            </w:pPr>
            <w:r w:rsidRPr="00B832DE">
              <w:rPr>
                <w:color w:val="000000"/>
                <w:sz w:val="16"/>
                <w:szCs w:val="16"/>
                <w:lang w:val="uk-UA"/>
              </w:rPr>
              <w:t>Найменування показника </w:t>
            </w:r>
          </w:p>
        </w:tc>
        <w:tc>
          <w:tcPr>
            <w:tcW w:w="1370" w:type="pct"/>
            <w:gridSpan w:val="2"/>
            <w:shd w:val="clear" w:color="auto" w:fill="auto"/>
            <w:tcMar>
              <w:top w:w="15" w:type="dxa"/>
              <w:left w:w="15" w:type="dxa"/>
              <w:bottom w:w="15" w:type="dxa"/>
              <w:right w:w="15" w:type="dxa"/>
            </w:tcMar>
            <w:vAlign w:val="center"/>
          </w:tcPr>
          <w:p w14:paraId="3010D875" w14:textId="77777777" w:rsidR="00B832DE" w:rsidRPr="00B832DE" w:rsidRDefault="00B832DE" w:rsidP="003908AD">
            <w:pPr>
              <w:pStyle w:val="a4"/>
              <w:jc w:val="center"/>
              <w:rPr>
                <w:sz w:val="16"/>
                <w:szCs w:val="16"/>
                <w:lang w:val="uk-UA"/>
              </w:rPr>
            </w:pPr>
            <w:r w:rsidRPr="00B832DE">
              <w:rPr>
                <w:color w:val="000000"/>
                <w:sz w:val="16"/>
                <w:szCs w:val="16"/>
                <w:lang w:val="uk-UA"/>
              </w:rPr>
              <w:t>Період </w:t>
            </w:r>
          </w:p>
        </w:tc>
      </w:tr>
      <w:tr w:rsidR="00B832DE" w:rsidRPr="00B832DE" w14:paraId="3E655D81" w14:textId="77777777" w:rsidTr="003908AD">
        <w:tc>
          <w:tcPr>
            <w:tcW w:w="3630" w:type="pct"/>
            <w:vMerge/>
            <w:vAlign w:val="center"/>
          </w:tcPr>
          <w:p w14:paraId="4A954855" w14:textId="77777777" w:rsidR="00B832DE" w:rsidRPr="00B832DE" w:rsidRDefault="00B832DE" w:rsidP="003908AD">
            <w:pPr>
              <w:rPr>
                <w:rFonts w:ascii="Times New Roman" w:hAnsi="Times New Roman" w:cs="Times New Roman"/>
                <w:sz w:val="16"/>
                <w:szCs w:val="16"/>
                <w:lang w:val="uk-UA"/>
              </w:rPr>
            </w:pPr>
          </w:p>
        </w:tc>
        <w:tc>
          <w:tcPr>
            <w:tcW w:w="685" w:type="pct"/>
            <w:shd w:val="clear" w:color="auto" w:fill="auto"/>
            <w:tcMar>
              <w:top w:w="15" w:type="dxa"/>
              <w:left w:w="15" w:type="dxa"/>
              <w:bottom w:w="15" w:type="dxa"/>
              <w:right w:w="15" w:type="dxa"/>
            </w:tcMar>
            <w:vAlign w:val="center"/>
          </w:tcPr>
          <w:p w14:paraId="5C04C576" w14:textId="77777777" w:rsidR="00B832DE" w:rsidRPr="00B832DE" w:rsidRDefault="00B832DE" w:rsidP="003908AD">
            <w:pPr>
              <w:pStyle w:val="a4"/>
              <w:jc w:val="center"/>
              <w:rPr>
                <w:b/>
                <w:sz w:val="16"/>
                <w:szCs w:val="16"/>
                <w:lang w:val="uk-UA"/>
              </w:rPr>
            </w:pPr>
            <w:proofErr w:type="spellStart"/>
            <w:r w:rsidRPr="00B832DE">
              <w:rPr>
                <w:b/>
                <w:color w:val="000000"/>
                <w:sz w:val="16"/>
                <w:szCs w:val="16"/>
                <w:lang w:val="uk-UA"/>
              </w:rPr>
              <w:t>звіт</w:t>
            </w:r>
            <w:proofErr w:type="spellEnd"/>
            <w:r w:rsidRPr="00B832DE">
              <w:rPr>
                <w:b/>
                <w:color w:val="000000"/>
                <w:sz w:val="16"/>
                <w:szCs w:val="16"/>
                <w:lang w:val="uk-UA"/>
              </w:rPr>
              <w:t>ний 2019</w:t>
            </w:r>
          </w:p>
        </w:tc>
        <w:tc>
          <w:tcPr>
            <w:tcW w:w="685" w:type="pct"/>
            <w:shd w:val="clear" w:color="auto" w:fill="auto"/>
            <w:tcMar>
              <w:top w:w="15" w:type="dxa"/>
              <w:left w:w="15" w:type="dxa"/>
              <w:bottom w:w="15" w:type="dxa"/>
              <w:right w:w="15" w:type="dxa"/>
            </w:tcMar>
            <w:vAlign w:val="center"/>
          </w:tcPr>
          <w:p w14:paraId="3E181EE0" w14:textId="77777777" w:rsidR="00B832DE" w:rsidRPr="00B832DE" w:rsidRDefault="00B832DE" w:rsidP="003908AD">
            <w:pPr>
              <w:pStyle w:val="a4"/>
              <w:jc w:val="center"/>
              <w:rPr>
                <w:b/>
                <w:sz w:val="16"/>
                <w:szCs w:val="16"/>
                <w:lang w:val="uk-UA"/>
              </w:rPr>
            </w:pPr>
            <w:proofErr w:type="spellStart"/>
            <w:r w:rsidRPr="00B832DE">
              <w:rPr>
                <w:b/>
                <w:color w:val="000000"/>
                <w:sz w:val="16"/>
                <w:szCs w:val="16"/>
                <w:lang w:val="uk-UA"/>
              </w:rPr>
              <w:t>попе</w:t>
            </w:r>
            <w:proofErr w:type="spellEnd"/>
            <w:r w:rsidRPr="00B832DE">
              <w:rPr>
                <w:b/>
                <w:color w:val="000000"/>
                <w:sz w:val="16"/>
                <w:szCs w:val="16"/>
                <w:lang w:val="uk-UA"/>
              </w:rPr>
              <w:t>редній 2018</w:t>
            </w:r>
          </w:p>
        </w:tc>
      </w:tr>
      <w:tr w:rsidR="00B832DE" w:rsidRPr="00B832DE" w14:paraId="7E22B61D" w14:textId="77777777" w:rsidTr="003908AD">
        <w:tc>
          <w:tcPr>
            <w:tcW w:w="3630" w:type="pct"/>
            <w:vAlign w:val="center"/>
          </w:tcPr>
          <w:p w14:paraId="51C0E771" w14:textId="77777777" w:rsidR="00B832DE" w:rsidRPr="00B832DE" w:rsidRDefault="00B832DE" w:rsidP="003908AD">
            <w:pPr>
              <w:pStyle w:val="a4"/>
              <w:rPr>
                <w:sz w:val="16"/>
                <w:szCs w:val="16"/>
                <w:lang w:val="uk-UA"/>
              </w:rPr>
            </w:pPr>
            <w:r w:rsidRPr="00B832DE">
              <w:rPr>
                <w:color w:val="000000"/>
                <w:sz w:val="16"/>
                <w:szCs w:val="16"/>
                <w:lang w:val="uk-UA"/>
              </w:rPr>
              <w:t>Усього активів </w:t>
            </w:r>
          </w:p>
        </w:tc>
        <w:tc>
          <w:tcPr>
            <w:tcW w:w="685" w:type="pct"/>
            <w:shd w:val="clear" w:color="auto" w:fill="auto"/>
            <w:tcMar>
              <w:top w:w="15" w:type="dxa"/>
              <w:left w:w="15" w:type="dxa"/>
              <w:bottom w:w="15" w:type="dxa"/>
              <w:right w:w="15" w:type="dxa"/>
            </w:tcMar>
            <w:vAlign w:val="center"/>
          </w:tcPr>
          <w:p w14:paraId="707BC220"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sz w:val="16"/>
                <w:szCs w:val="16"/>
                <w:lang w:val="uk-UA"/>
              </w:rPr>
              <w:t>388 069</w:t>
            </w:r>
          </w:p>
        </w:tc>
        <w:tc>
          <w:tcPr>
            <w:tcW w:w="685" w:type="pct"/>
            <w:shd w:val="clear" w:color="auto" w:fill="auto"/>
            <w:tcMar>
              <w:top w:w="15" w:type="dxa"/>
              <w:left w:w="15" w:type="dxa"/>
              <w:bottom w:w="15" w:type="dxa"/>
              <w:right w:w="15" w:type="dxa"/>
            </w:tcMar>
          </w:tcPr>
          <w:p w14:paraId="56D32AED"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color w:val="000000"/>
                <w:sz w:val="16"/>
                <w:szCs w:val="16"/>
                <w:lang w:val="uk-UA"/>
              </w:rPr>
              <w:t>464 769</w:t>
            </w:r>
          </w:p>
        </w:tc>
      </w:tr>
      <w:tr w:rsidR="00B832DE" w:rsidRPr="00B832DE" w14:paraId="05784ACB" w14:textId="77777777" w:rsidTr="003908AD">
        <w:tc>
          <w:tcPr>
            <w:tcW w:w="3630" w:type="pct"/>
            <w:vAlign w:val="center"/>
          </w:tcPr>
          <w:p w14:paraId="14B16595" w14:textId="77777777" w:rsidR="00B832DE" w:rsidRPr="00B832DE" w:rsidRDefault="00B832DE" w:rsidP="003908AD">
            <w:pPr>
              <w:pStyle w:val="a4"/>
              <w:rPr>
                <w:sz w:val="16"/>
                <w:szCs w:val="16"/>
                <w:lang w:val="uk-UA"/>
              </w:rPr>
            </w:pPr>
            <w:r w:rsidRPr="00B832DE">
              <w:rPr>
                <w:color w:val="000000"/>
                <w:sz w:val="16"/>
                <w:szCs w:val="16"/>
                <w:lang w:val="uk-UA"/>
              </w:rPr>
              <w:t>Основні засоби (за залишковою вартістю)</w:t>
            </w:r>
          </w:p>
        </w:tc>
        <w:tc>
          <w:tcPr>
            <w:tcW w:w="685" w:type="pct"/>
            <w:shd w:val="clear" w:color="auto" w:fill="auto"/>
            <w:tcMar>
              <w:top w:w="15" w:type="dxa"/>
              <w:left w:w="15" w:type="dxa"/>
              <w:bottom w:w="15" w:type="dxa"/>
              <w:right w:w="15" w:type="dxa"/>
            </w:tcMar>
            <w:vAlign w:val="center"/>
          </w:tcPr>
          <w:p w14:paraId="7492C018"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sz w:val="16"/>
                <w:szCs w:val="16"/>
                <w:lang w:val="uk-UA"/>
              </w:rPr>
              <w:t>72 519</w:t>
            </w:r>
          </w:p>
        </w:tc>
        <w:tc>
          <w:tcPr>
            <w:tcW w:w="685" w:type="pct"/>
            <w:shd w:val="clear" w:color="auto" w:fill="auto"/>
            <w:tcMar>
              <w:top w:w="15" w:type="dxa"/>
              <w:left w:w="15" w:type="dxa"/>
              <w:bottom w:w="15" w:type="dxa"/>
              <w:right w:w="15" w:type="dxa"/>
            </w:tcMar>
          </w:tcPr>
          <w:p w14:paraId="3CE0570C"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color w:val="000000"/>
                <w:sz w:val="16"/>
                <w:szCs w:val="16"/>
                <w:lang w:val="uk-UA"/>
              </w:rPr>
              <w:t>79 175</w:t>
            </w:r>
          </w:p>
        </w:tc>
      </w:tr>
      <w:tr w:rsidR="00B832DE" w:rsidRPr="00B832DE" w14:paraId="520B9D70" w14:textId="77777777" w:rsidTr="003908AD">
        <w:tc>
          <w:tcPr>
            <w:tcW w:w="3630" w:type="pct"/>
            <w:vAlign w:val="center"/>
          </w:tcPr>
          <w:p w14:paraId="72DA02A5" w14:textId="77777777" w:rsidR="00B832DE" w:rsidRPr="00B832DE" w:rsidRDefault="00B832DE" w:rsidP="003908AD">
            <w:pPr>
              <w:pStyle w:val="a4"/>
              <w:rPr>
                <w:sz w:val="16"/>
                <w:szCs w:val="16"/>
                <w:lang w:val="uk-UA"/>
              </w:rPr>
            </w:pPr>
            <w:r w:rsidRPr="00B832DE">
              <w:rPr>
                <w:color w:val="000000"/>
                <w:sz w:val="16"/>
                <w:szCs w:val="16"/>
                <w:lang w:val="uk-UA"/>
              </w:rPr>
              <w:t>Запаси </w:t>
            </w:r>
          </w:p>
        </w:tc>
        <w:tc>
          <w:tcPr>
            <w:tcW w:w="685" w:type="pct"/>
            <w:shd w:val="clear" w:color="auto" w:fill="auto"/>
            <w:tcMar>
              <w:top w:w="15" w:type="dxa"/>
              <w:left w:w="15" w:type="dxa"/>
              <w:bottom w:w="15" w:type="dxa"/>
              <w:right w:w="15" w:type="dxa"/>
            </w:tcMar>
            <w:vAlign w:val="center"/>
          </w:tcPr>
          <w:p w14:paraId="30A456EC"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sz w:val="16"/>
                <w:szCs w:val="16"/>
                <w:lang w:val="uk-UA"/>
              </w:rPr>
              <w:t xml:space="preserve">266 268 </w:t>
            </w:r>
          </w:p>
        </w:tc>
        <w:tc>
          <w:tcPr>
            <w:tcW w:w="685" w:type="pct"/>
            <w:shd w:val="clear" w:color="auto" w:fill="auto"/>
            <w:tcMar>
              <w:top w:w="15" w:type="dxa"/>
              <w:left w:w="15" w:type="dxa"/>
              <w:bottom w:w="15" w:type="dxa"/>
              <w:right w:w="15" w:type="dxa"/>
            </w:tcMar>
          </w:tcPr>
          <w:p w14:paraId="2BA773A0"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color w:val="000000"/>
                <w:sz w:val="16"/>
                <w:szCs w:val="16"/>
                <w:lang w:val="uk-UA"/>
              </w:rPr>
              <w:t>314 731</w:t>
            </w:r>
          </w:p>
        </w:tc>
      </w:tr>
      <w:tr w:rsidR="00B832DE" w:rsidRPr="00B832DE" w14:paraId="2442F69B" w14:textId="77777777" w:rsidTr="003908AD">
        <w:tc>
          <w:tcPr>
            <w:tcW w:w="3630" w:type="pct"/>
            <w:vAlign w:val="center"/>
          </w:tcPr>
          <w:p w14:paraId="22A3A323" w14:textId="77777777" w:rsidR="00B832DE" w:rsidRPr="00B832DE" w:rsidRDefault="00B832DE" w:rsidP="003908AD">
            <w:pPr>
              <w:pStyle w:val="a4"/>
              <w:rPr>
                <w:sz w:val="16"/>
                <w:szCs w:val="16"/>
                <w:lang w:val="uk-UA"/>
              </w:rPr>
            </w:pPr>
            <w:r w:rsidRPr="00B832DE">
              <w:rPr>
                <w:color w:val="000000"/>
                <w:sz w:val="16"/>
                <w:szCs w:val="16"/>
                <w:lang w:val="uk-UA"/>
              </w:rPr>
              <w:t>Сумарна дебіторська заборгованість </w:t>
            </w:r>
          </w:p>
        </w:tc>
        <w:tc>
          <w:tcPr>
            <w:tcW w:w="685" w:type="pct"/>
            <w:shd w:val="clear" w:color="auto" w:fill="auto"/>
            <w:tcMar>
              <w:top w:w="15" w:type="dxa"/>
              <w:left w:w="15" w:type="dxa"/>
              <w:bottom w:w="15" w:type="dxa"/>
              <w:right w:w="15" w:type="dxa"/>
            </w:tcMar>
            <w:vAlign w:val="center"/>
          </w:tcPr>
          <w:p w14:paraId="7AB63A32"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sz w:val="16"/>
                <w:szCs w:val="16"/>
                <w:lang w:val="uk-UA"/>
              </w:rPr>
              <w:t>36 214</w:t>
            </w:r>
          </w:p>
        </w:tc>
        <w:tc>
          <w:tcPr>
            <w:tcW w:w="685" w:type="pct"/>
            <w:shd w:val="clear" w:color="auto" w:fill="auto"/>
            <w:tcMar>
              <w:top w:w="15" w:type="dxa"/>
              <w:left w:w="15" w:type="dxa"/>
              <w:bottom w:w="15" w:type="dxa"/>
              <w:right w:w="15" w:type="dxa"/>
            </w:tcMar>
          </w:tcPr>
          <w:p w14:paraId="3BE3911E"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color w:val="000000"/>
                <w:sz w:val="16"/>
                <w:szCs w:val="16"/>
                <w:lang w:val="uk-UA"/>
              </w:rPr>
              <w:t>55 300</w:t>
            </w:r>
          </w:p>
        </w:tc>
      </w:tr>
      <w:tr w:rsidR="00B832DE" w:rsidRPr="00B832DE" w14:paraId="45911876" w14:textId="77777777" w:rsidTr="003908AD">
        <w:tc>
          <w:tcPr>
            <w:tcW w:w="3630" w:type="pct"/>
            <w:vAlign w:val="center"/>
          </w:tcPr>
          <w:p w14:paraId="37FB4F75" w14:textId="77777777" w:rsidR="00B832DE" w:rsidRPr="00B832DE" w:rsidRDefault="00B832DE" w:rsidP="003908AD">
            <w:pPr>
              <w:pStyle w:val="a4"/>
              <w:rPr>
                <w:sz w:val="16"/>
                <w:szCs w:val="16"/>
                <w:lang w:val="uk-UA"/>
              </w:rPr>
            </w:pPr>
            <w:r w:rsidRPr="00B832DE">
              <w:rPr>
                <w:color w:val="000000"/>
                <w:sz w:val="16"/>
                <w:szCs w:val="16"/>
                <w:lang w:val="uk-UA"/>
              </w:rPr>
              <w:t>Гроші та їх еквіваленти </w:t>
            </w:r>
          </w:p>
        </w:tc>
        <w:tc>
          <w:tcPr>
            <w:tcW w:w="685" w:type="pct"/>
            <w:shd w:val="clear" w:color="auto" w:fill="auto"/>
            <w:tcMar>
              <w:top w:w="15" w:type="dxa"/>
              <w:left w:w="15" w:type="dxa"/>
              <w:bottom w:w="15" w:type="dxa"/>
              <w:right w:w="15" w:type="dxa"/>
            </w:tcMar>
            <w:vAlign w:val="center"/>
          </w:tcPr>
          <w:p w14:paraId="3F24095B"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sz w:val="16"/>
                <w:szCs w:val="16"/>
                <w:lang w:val="uk-UA"/>
              </w:rPr>
              <w:t>64</w:t>
            </w:r>
          </w:p>
        </w:tc>
        <w:tc>
          <w:tcPr>
            <w:tcW w:w="685" w:type="pct"/>
            <w:shd w:val="clear" w:color="auto" w:fill="auto"/>
            <w:tcMar>
              <w:top w:w="15" w:type="dxa"/>
              <w:left w:w="15" w:type="dxa"/>
              <w:bottom w:w="15" w:type="dxa"/>
              <w:right w:w="15" w:type="dxa"/>
            </w:tcMar>
          </w:tcPr>
          <w:p w14:paraId="6487B755"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color w:val="000000"/>
                <w:sz w:val="16"/>
                <w:szCs w:val="16"/>
                <w:lang w:val="uk-UA"/>
              </w:rPr>
              <w:t>1 281</w:t>
            </w:r>
          </w:p>
        </w:tc>
      </w:tr>
      <w:tr w:rsidR="00B832DE" w:rsidRPr="00B832DE" w14:paraId="71708520" w14:textId="77777777" w:rsidTr="003908AD">
        <w:tc>
          <w:tcPr>
            <w:tcW w:w="3630" w:type="pct"/>
            <w:vAlign w:val="center"/>
          </w:tcPr>
          <w:p w14:paraId="6A6445E0" w14:textId="77777777" w:rsidR="00B832DE" w:rsidRPr="00B832DE" w:rsidRDefault="00B832DE" w:rsidP="003908AD">
            <w:pPr>
              <w:pStyle w:val="a4"/>
              <w:rPr>
                <w:sz w:val="16"/>
                <w:szCs w:val="16"/>
                <w:lang w:val="uk-UA"/>
              </w:rPr>
            </w:pPr>
            <w:r w:rsidRPr="00B832DE">
              <w:rPr>
                <w:color w:val="000000"/>
                <w:sz w:val="16"/>
                <w:szCs w:val="16"/>
                <w:lang w:val="uk-UA"/>
              </w:rPr>
              <w:t>Нерозподілений прибуток (непокритий збиток)</w:t>
            </w:r>
          </w:p>
        </w:tc>
        <w:tc>
          <w:tcPr>
            <w:tcW w:w="685" w:type="pct"/>
            <w:shd w:val="clear" w:color="auto" w:fill="auto"/>
            <w:tcMar>
              <w:top w:w="15" w:type="dxa"/>
              <w:left w:w="15" w:type="dxa"/>
              <w:bottom w:w="15" w:type="dxa"/>
              <w:right w:w="15" w:type="dxa"/>
            </w:tcMar>
            <w:vAlign w:val="center"/>
          </w:tcPr>
          <w:p w14:paraId="23D98881"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sz w:val="16"/>
                <w:szCs w:val="16"/>
                <w:lang w:val="uk-UA"/>
              </w:rPr>
              <w:t>19 943</w:t>
            </w:r>
          </w:p>
        </w:tc>
        <w:tc>
          <w:tcPr>
            <w:tcW w:w="685" w:type="pct"/>
            <w:shd w:val="clear" w:color="auto" w:fill="auto"/>
            <w:tcMar>
              <w:top w:w="15" w:type="dxa"/>
              <w:left w:w="15" w:type="dxa"/>
              <w:bottom w:w="15" w:type="dxa"/>
              <w:right w:w="15" w:type="dxa"/>
            </w:tcMar>
          </w:tcPr>
          <w:p w14:paraId="6B568671"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color w:val="000000"/>
                <w:sz w:val="16"/>
                <w:szCs w:val="16"/>
                <w:lang w:val="uk-UA"/>
              </w:rPr>
              <w:t>38 852</w:t>
            </w:r>
          </w:p>
        </w:tc>
      </w:tr>
      <w:tr w:rsidR="00B832DE" w:rsidRPr="00B832DE" w14:paraId="086DAD0B" w14:textId="77777777" w:rsidTr="003908AD">
        <w:tc>
          <w:tcPr>
            <w:tcW w:w="3630" w:type="pct"/>
            <w:vAlign w:val="center"/>
          </w:tcPr>
          <w:p w14:paraId="04B00202" w14:textId="77777777" w:rsidR="00B832DE" w:rsidRPr="00B832DE" w:rsidRDefault="00B832DE" w:rsidP="003908AD">
            <w:pPr>
              <w:pStyle w:val="a4"/>
              <w:rPr>
                <w:sz w:val="16"/>
                <w:szCs w:val="16"/>
                <w:lang w:val="uk-UA"/>
              </w:rPr>
            </w:pPr>
            <w:r w:rsidRPr="00B832DE">
              <w:rPr>
                <w:color w:val="000000"/>
                <w:sz w:val="16"/>
                <w:szCs w:val="16"/>
                <w:lang w:val="uk-UA"/>
              </w:rPr>
              <w:t>Власний капітал </w:t>
            </w:r>
          </w:p>
        </w:tc>
        <w:tc>
          <w:tcPr>
            <w:tcW w:w="685" w:type="pct"/>
            <w:shd w:val="clear" w:color="auto" w:fill="auto"/>
            <w:tcMar>
              <w:top w:w="15" w:type="dxa"/>
              <w:left w:w="15" w:type="dxa"/>
              <w:bottom w:w="15" w:type="dxa"/>
              <w:right w:w="15" w:type="dxa"/>
            </w:tcMar>
            <w:vAlign w:val="center"/>
          </w:tcPr>
          <w:p w14:paraId="6F49B10F"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sz w:val="16"/>
                <w:szCs w:val="16"/>
                <w:lang w:val="uk-UA"/>
              </w:rPr>
              <w:t>108 217</w:t>
            </w:r>
          </w:p>
        </w:tc>
        <w:tc>
          <w:tcPr>
            <w:tcW w:w="685" w:type="pct"/>
            <w:shd w:val="clear" w:color="auto" w:fill="auto"/>
            <w:tcMar>
              <w:top w:w="15" w:type="dxa"/>
              <w:left w:w="15" w:type="dxa"/>
              <w:bottom w:w="15" w:type="dxa"/>
              <w:right w:w="15" w:type="dxa"/>
            </w:tcMar>
          </w:tcPr>
          <w:p w14:paraId="791A7E56"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color w:val="000000"/>
                <w:sz w:val="16"/>
                <w:szCs w:val="16"/>
                <w:lang w:val="uk-UA"/>
              </w:rPr>
              <w:t>127 126</w:t>
            </w:r>
          </w:p>
        </w:tc>
      </w:tr>
      <w:tr w:rsidR="00B832DE" w:rsidRPr="00B832DE" w14:paraId="79C2F46C" w14:textId="77777777" w:rsidTr="003908AD">
        <w:tc>
          <w:tcPr>
            <w:tcW w:w="3630" w:type="pct"/>
            <w:vAlign w:val="center"/>
          </w:tcPr>
          <w:p w14:paraId="729445F3" w14:textId="77777777" w:rsidR="00B832DE" w:rsidRPr="00B832DE" w:rsidRDefault="00B832DE" w:rsidP="003908AD">
            <w:pPr>
              <w:pStyle w:val="a4"/>
              <w:rPr>
                <w:sz w:val="16"/>
                <w:szCs w:val="16"/>
                <w:lang w:val="uk-UA"/>
              </w:rPr>
            </w:pPr>
            <w:r w:rsidRPr="00B832DE">
              <w:rPr>
                <w:color w:val="000000"/>
                <w:sz w:val="16"/>
                <w:szCs w:val="16"/>
                <w:lang w:val="uk-UA"/>
              </w:rPr>
              <w:t>Зареєстрований (пайовий/статутний) капітал </w:t>
            </w:r>
          </w:p>
        </w:tc>
        <w:tc>
          <w:tcPr>
            <w:tcW w:w="685" w:type="pct"/>
            <w:shd w:val="clear" w:color="auto" w:fill="auto"/>
            <w:tcMar>
              <w:top w:w="15" w:type="dxa"/>
              <w:left w:w="15" w:type="dxa"/>
              <w:bottom w:w="15" w:type="dxa"/>
              <w:right w:w="15" w:type="dxa"/>
            </w:tcMar>
            <w:vAlign w:val="center"/>
          </w:tcPr>
          <w:p w14:paraId="3D4C7C01"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sz w:val="16"/>
                <w:szCs w:val="16"/>
                <w:lang w:val="uk-UA"/>
              </w:rPr>
              <w:t>4 237</w:t>
            </w:r>
          </w:p>
        </w:tc>
        <w:tc>
          <w:tcPr>
            <w:tcW w:w="685" w:type="pct"/>
            <w:shd w:val="clear" w:color="auto" w:fill="auto"/>
            <w:tcMar>
              <w:top w:w="15" w:type="dxa"/>
              <w:left w:w="15" w:type="dxa"/>
              <w:bottom w:w="15" w:type="dxa"/>
              <w:right w:w="15" w:type="dxa"/>
            </w:tcMar>
          </w:tcPr>
          <w:p w14:paraId="3A3E0E9A"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color w:val="000000"/>
                <w:sz w:val="16"/>
                <w:szCs w:val="16"/>
                <w:lang w:val="uk-UA"/>
              </w:rPr>
              <w:t>4 237</w:t>
            </w:r>
          </w:p>
        </w:tc>
      </w:tr>
      <w:tr w:rsidR="00B832DE" w:rsidRPr="00B832DE" w14:paraId="542A380B" w14:textId="77777777" w:rsidTr="00B832DE">
        <w:tc>
          <w:tcPr>
            <w:tcW w:w="3630" w:type="pct"/>
            <w:vAlign w:val="center"/>
          </w:tcPr>
          <w:p w14:paraId="4727C234" w14:textId="77777777" w:rsidR="00B832DE" w:rsidRPr="00B832DE" w:rsidRDefault="00B832DE" w:rsidP="003908AD">
            <w:pPr>
              <w:pStyle w:val="a4"/>
              <w:rPr>
                <w:sz w:val="16"/>
                <w:szCs w:val="16"/>
                <w:lang w:val="uk-UA"/>
              </w:rPr>
            </w:pPr>
            <w:r w:rsidRPr="00B832DE">
              <w:rPr>
                <w:color w:val="000000"/>
                <w:sz w:val="16"/>
                <w:szCs w:val="16"/>
                <w:lang w:val="uk-UA"/>
              </w:rPr>
              <w:t>Довгострокові зобов'язання і забезпечення</w:t>
            </w:r>
          </w:p>
        </w:tc>
        <w:tc>
          <w:tcPr>
            <w:tcW w:w="685" w:type="pct"/>
            <w:shd w:val="clear" w:color="auto" w:fill="auto"/>
            <w:tcMar>
              <w:top w:w="15" w:type="dxa"/>
              <w:left w:w="15" w:type="dxa"/>
              <w:bottom w:w="15" w:type="dxa"/>
              <w:right w:w="15" w:type="dxa"/>
            </w:tcMar>
            <w:vAlign w:val="center"/>
          </w:tcPr>
          <w:p w14:paraId="5B521F2E" w14:textId="77777777" w:rsidR="00B832DE" w:rsidRPr="00B832DE" w:rsidRDefault="00B832DE" w:rsidP="003908AD">
            <w:pPr>
              <w:jc w:val="center"/>
              <w:rPr>
                <w:rFonts w:ascii="Times New Roman" w:hAnsi="Times New Roman" w:cs="Times New Roman"/>
                <w:sz w:val="16"/>
                <w:szCs w:val="16"/>
                <w:lang w:val="uk-UA"/>
              </w:rPr>
            </w:pPr>
          </w:p>
        </w:tc>
        <w:tc>
          <w:tcPr>
            <w:tcW w:w="685" w:type="pct"/>
            <w:shd w:val="clear" w:color="auto" w:fill="FFFFFF" w:themeFill="background1"/>
            <w:tcMar>
              <w:top w:w="15" w:type="dxa"/>
              <w:left w:w="15" w:type="dxa"/>
              <w:bottom w:w="15" w:type="dxa"/>
              <w:right w:w="15" w:type="dxa"/>
            </w:tcMar>
          </w:tcPr>
          <w:p w14:paraId="7882FCD4" w14:textId="77777777" w:rsidR="00B832DE" w:rsidRPr="00B832DE" w:rsidRDefault="00B832DE" w:rsidP="003908AD">
            <w:pPr>
              <w:jc w:val="center"/>
              <w:rPr>
                <w:rFonts w:ascii="Times New Roman" w:hAnsi="Times New Roman" w:cs="Times New Roman"/>
                <w:sz w:val="16"/>
                <w:szCs w:val="16"/>
                <w:lang w:val="uk-UA"/>
              </w:rPr>
            </w:pPr>
          </w:p>
        </w:tc>
      </w:tr>
      <w:tr w:rsidR="00B832DE" w:rsidRPr="00B832DE" w14:paraId="30C58961" w14:textId="77777777" w:rsidTr="00B832DE">
        <w:tc>
          <w:tcPr>
            <w:tcW w:w="3630" w:type="pct"/>
            <w:vAlign w:val="center"/>
          </w:tcPr>
          <w:p w14:paraId="72B4CE8B" w14:textId="77777777" w:rsidR="00B832DE" w:rsidRPr="00B832DE" w:rsidRDefault="00B832DE" w:rsidP="003908AD">
            <w:pPr>
              <w:pStyle w:val="a4"/>
              <w:rPr>
                <w:sz w:val="16"/>
                <w:szCs w:val="16"/>
                <w:lang w:val="uk-UA"/>
              </w:rPr>
            </w:pPr>
            <w:r w:rsidRPr="00B832DE">
              <w:rPr>
                <w:color w:val="000000"/>
                <w:sz w:val="16"/>
                <w:szCs w:val="16"/>
                <w:lang w:val="uk-UA"/>
              </w:rPr>
              <w:t>Поточні зобов'язання і забезпечення</w:t>
            </w:r>
          </w:p>
        </w:tc>
        <w:tc>
          <w:tcPr>
            <w:tcW w:w="685" w:type="pct"/>
            <w:shd w:val="clear" w:color="auto" w:fill="auto"/>
            <w:tcMar>
              <w:top w:w="15" w:type="dxa"/>
              <w:left w:w="15" w:type="dxa"/>
              <w:bottom w:w="15" w:type="dxa"/>
              <w:right w:w="15" w:type="dxa"/>
            </w:tcMar>
            <w:vAlign w:val="center"/>
          </w:tcPr>
          <w:p w14:paraId="1D648E74"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sz w:val="16"/>
                <w:szCs w:val="16"/>
                <w:lang w:val="uk-UA"/>
              </w:rPr>
              <w:t>279 852</w:t>
            </w:r>
          </w:p>
        </w:tc>
        <w:tc>
          <w:tcPr>
            <w:tcW w:w="685" w:type="pct"/>
            <w:shd w:val="clear" w:color="auto" w:fill="FFFFFF" w:themeFill="background1"/>
            <w:tcMar>
              <w:top w:w="15" w:type="dxa"/>
              <w:left w:w="15" w:type="dxa"/>
              <w:bottom w:w="15" w:type="dxa"/>
              <w:right w:w="15" w:type="dxa"/>
            </w:tcMar>
          </w:tcPr>
          <w:p w14:paraId="35B9B79B"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color w:val="000000"/>
                <w:sz w:val="16"/>
                <w:szCs w:val="16"/>
                <w:lang w:val="uk-UA"/>
              </w:rPr>
              <w:t>337 643</w:t>
            </w:r>
          </w:p>
        </w:tc>
      </w:tr>
      <w:tr w:rsidR="00B832DE" w:rsidRPr="00B832DE" w14:paraId="7795AF4E" w14:textId="77777777" w:rsidTr="003908AD">
        <w:tc>
          <w:tcPr>
            <w:tcW w:w="3630" w:type="pct"/>
            <w:vAlign w:val="center"/>
          </w:tcPr>
          <w:p w14:paraId="25342070" w14:textId="77777777" w:rsidR="00B832DE" w:rsidRPr="00B832DE" w:rsidRDefault="00B832DE" w:rsidP="003908AD">
            <w:pPr>
              <w:pStyle w:val="a4"/>
              <w:rPr>
                <w:sz w:val="16"/>
                <w:szCs w:val="16"/>
                <w:lang w:val="uk-UA"/>
              </w:rPr>
            </w:pPr>
            <w:r w:rsidRPr="00B832DE">
              <w:rPr>
                <w:color w:val="000000"/>
                <w:sz w:val="16"/>
                <w:szCs w:val="16"/>
                <w:lang w:val="uk-UA"/>
              </w:rPr>
              <w:t>Чистий фінансовий результат: прибуток (збиток) </w:t>
            </w:r>
          </w:p>
        </w:tc>
        <w:tc>
          <w:tcPr>
            <w:tcW w:w="685" w:type="pct"/>
            <w:shd w:val="clear" w:color="auto" w:fill="auto"/>
            <w:tcMar>
              <w:top w:w="15" w:type="dxa"/>
              <w:left w:w="15" w:type="dxa"/>
              <w:bottom w:w="15" w:type="dxa"/>
              <w:right w:w="15" w:type="dxa"/>
            </w:tcMar>
            <w:vAlign w:val="center"/>
          </w:tcPr>
          <w:p w14:paraId="5BCD2621"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sz w:val="16"/>
                <w:szCs w:val="16"/>
                <w:lang w:val="uk-UA"/>
              </w:rPr>
              <w:t>19 943</w:t>
            </w:r>
          </w:p>
        </w:tc>
        <w:tc>
          <w:tcPr>
            <w:tcW w:w="685" w:type="pct"/>
            <w:shd w:val="clear" w:color="auto" w:fill="auto"/>
            <w:tcMar>
              <w:top w:w="15" w:type="dxa"/>
              <w:left w:w="15" w:type="dxa"/>
              <w:bottom w:w="15" w:type="dxa"/>
              <w:right w:w="15" w:type="dxa"/>
            </w:tcMar>
          </w:tcPr>
          <w:p w14:paraId="683C97BA"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color w:val="000000"/>
                <w:sz w:val="16"/>
                <w:szCs w:val="16"/>
                <w:lang w:val="uk-UA"/>
              </w:rPr>
              <w:t>18 176</w:t>
            </w:r>
          </w:p>
        </w:tc>
      </w:tr>
      <w:tr w:rsidR="00B832DE" w:rsidRPr="00B832DE" w14:paraId="439D26C8" w14:textId="77777777" w:rsidTr="003908AD">
        <w:tc>
          <w:tcPr>
            <w:tcW w:w="3630" w:type="pct"/>
            <w:vAlign w:val="center"/>
          </w:tcPr>
          <w:p w14:paraId="44734363" w14:textId="77777777" w:rsidR="00B832DE" w:rsidRPr="00B832DE" w:rsidRDefault="00B832DE" w:rsidP="003908AD">
            <w:pPr>
              <w:pStyle w:val="a4"/>
              <w:rPr>
                <w:sz w:val="16"/>
                <w:szCs w:val="16"/>
                <w:lang w:val="uk-UA"/>
              </w:rPr>
            </w:pPr>
            <w:r w:rsidRPr="00B832DE">
              <w:rPr>
                <w:color w:val="000000"/>
                <w:sz w:val="16"/>
                <w:szCs w:val="16"/>
                <w:lang w:val="uk-UA"/>
              </w:rPr>
              <w:t>Середньорічна кількість акцій (шт.) </w:t>
            </w:r>
          </w:p>
        </w:tc>
        <w:tc>
          <w:tcPr>
            <w:tcW w:w="685" w:type="pct"/>
            <w:shd w:val="clear" w:color="auto" w:fill="auto"/>
            <w:tcMar>
              <w:top w:w="15" w:type="dxa"/>
              <w:left w:w="15" w:type="dxa"/>
              <w:bottom w:w="15" w:type="dxa"/>
              <w:right w:w="15" w:type="dxa"/>
            </w:tcMar>
            <w:vAlign w:val="center"/>
          </w:tcPr>
          <w:p w14:paraId="14ED1724"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sz w:val="16"/>
                <w:szCs w:val="16"/>
                <w:lang w:val="uk-UA"/>
              </w:rPr>
              <w:t>16 949 408</w:t>
            </w:r>
          </w:p>
        </w:tc>
        <w:tc>
          <w:tcPr>
            <w:tcW w:w="685" w:type="pct"/>
            <w:shd w:val="clear" w:color="auto" w:fill="auto"/>
            <w:tcMar>
              <w:top w:w="15" w:type="dxa"/>
              <w:left w:w="15" w:type="dxa"/>
              <w:bottom w:w="15" w:type="dxa"/>
              <w:right w:w="15" w:type="dxa"/>
            </w:tcMar>
          </w:tcPr>
          <w:p w14:paraId="669D8250"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color w:val="000000"/>
                <w:sz w:val="16"/>
                <w:szCs w:val="16"/>
                <w:lang w:val="uk-UA"/>
              </w:rPr>
              <w:t>16 949 408</w:t>
            </w:r>
          </w:p>
        </w:tc>
      </w:tr>
      <w:tr w:rsidR="00B832DE" w:rsidRPr="00B832DE" w14:paraId="4D3493E8" w14:textId="77777777" w:rsidTr="003908AD">
        <w:tc>
          <w:tcPr>
            <w:tcW w:w="3630" w:type="pct"/>
            <w:vAlign w:val="center"/>
          </w:tcPr>
          <w:p w14:paraId="7EE599D3" w14:textId="77777777" w:rsidR="00B832DE" w:rsidRPr="00B832DE" w:rsidRDefault="00B832DE" w:rsidP="003908AD">
            <w:pPr>
              <w:pStyle w:val="a4"/>
              <w:rPr>
                <w:sz w:val="16"/>
                <w:szCs w:val="16"/>
                <w:lang w:val="uk-UA"/>
              </w:rPr>
            </w:pPr>
            <w:r w:rsidRPr="00B832DE">
              <w:rPr>
                <w:sz w:val="16"/>
                <w:szCs w:val="16"/>
                <w:lang w:val="uk-UA"/>
              </w:rPr>
              <w:t>Чистий прибуток (збиток) на одну просту акцію (</w:t>
            </w:r>
            <w:proofErr w:type="spellStart"/>
            <w:r w:rsidRPr="00B832DE">
              <w:rPr>
                <w:sz w:val="16"/>
                <w:szCs w:val="16"/>
                <w:lang w:val="uk-UA"/>
              </w:rPr>
              <w:t>грн</w:t>
            </w:r>
            <w:proofErr w:type="spellEnd"/>
            <w:r w:rsidRPr="00B832DE">
              <w:rPr>
                <w:sz w:val="16"/>
                <w:szCs w:val="16"/>
                <w:lang w:val="uk-UA"/>
              </w:rPr>
              <w:t>)</w:t>
            </w:r>
          </w:p>
        </w:tc>
        <w:tc>
          <w:tcPr>
            <w:tcW w:w="685" w:type="pct"/>
            <w:shd w:val="clear" w:color="auto" w:fill="auto"/>
            <w:tcMar>
              <w:top w:w="15" w:type="dxa"/>
              <w:left w:w="15" w:type="dxa"/>
              <w:bottom w:w="15" w:type="dxa"/>
              <w:right w:w="15" w:type="dxa"/>
            </w:tcMar>
            <w:vAlign w:val="center"/>
          </w:tcPr>
          <w:p w14:paraId="494B2551"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sz w:val="16"/>
                <w:szCs w:val="16"/>
                <w:lang w:val="uk-UA"/>
              </w:rPr>
              <w:t>1,1766</w:t>
            </w:r>
          </w:p>
        </w:tc>
        <w:tc>
          <w:tcPr>
            <w:tcW w:w="685" w:type="pct"/>
            <w:shd w:val="clear" w:color="auto" w:fill="auto"/>
            <w:tcMar>
              <w:top w:w="15" w:type="dxa"/>
              <w:left w:w="15" w:type="dxa"/>
              <w:bottom w:w="15" w:type="dxa"/>
              <w:right w:w="15" w:type="dxa"/>
            </w:tcMar>
          </w:tcPr>
          <w:p w14:paraId="62E38365" w14:textId="77777777" w:rsidR="00B832DE" w:rsidRPr="00B832DE" w:rsidRDefault="00B832DE" w:rsidP="003908AD">
            <w:pPr>
              <w:jc w:val="center"/>
              <w:rPr>
                <w:rFonts w:ascii="Times New Roman" w:hAnsi="Times New Roman" w:cs="Times New Roman"/>
                <w:sz w:val="16"/>
                <w:szCs w:val="16"/>
                <w:lang w:val="uk-UA"/>
              </w:rPr>
            </w:pPr>
            <w:r w:rsidRPr="00B832DE">
              <w:rPr>
                <w:rFonts w:ascii="Times New Roman" w:hAnsi="Times New Roman" w:cs="Times New Roman"/>
                <w:color w:val="000000"/>
                <w:sz w:val="16"/>
                <w:szCs w:val="16"/>
                <w:lang w:val="uk-UA"/>
              </w:rPr>
              <w:t>1,072</w:t>
            </w:r>
          </w:p>
        </w:tc>
      </w:tr>
    </w:tbl>
    <w:p w14:paraId="751AF96E" w14:textId="77777777" w:rsidR="00B832DE" w:rsidRDefault="00B832DE" w:rsidP="00B832DE"/>
    <w:p w14:paraId="26DFDC1C" w14:textId="77777777" w:rsidR="00993F55" w:rsidRPr="00C44B9C" w:rsidRDefault="00993F55" w:rsidP="0042693B">
      <w:pPr>
        <w:pStyle w:val="a5"/>
        <w:ind w:left="0" w:firstLine="349"/>
        <w:jc w:val="both"/>
        <w:rPr>
          <w:b/>
          <w:bCs/>
          <w:i/>
          <w:iCs/>
          <w:sz w:val="16"/>
          <w:szCs w:val="16"/>
          <w:lang w:eastAsia="ar-SA"/>
        </w:rPr>
      </w:pPr>
    </w:p>
    <w:p w14:paraId="750BEE6B" w14:textId="77777777" w:rsidR="0042693B" w:rsidRPr="00C44B9C" w:rsidRDefault="0042693B" w:rsidP="0042693B">
      <w:pPr>
        <w:tabs>
          <w:tab w:val="left" w:pos="10620"/>
        </w:tabs>
        <w:ind w:left="360" w:right="180" w:firstLine="349"/>
        <w:rPr>
          <w:rFonts w:ascii="Times New Roman" w:hAnsi="Times New Roman" w:cs="Times New Roman"/>
          <w:sz w:val="16"/>
          <w:szCs w:val="16"/>
          <w:lang w:val="uk-UA"/>
        </w:rPr>
      </w:pPr>
      <w:r w:rsidRPr="00C44B9C">
        <w:rPr>
          <w:rFonts w:ascii="Times New Roman" w:hAnsi="Times New Roman" w:cs="Times New Roman"/>
          <w:b/>
          <w:bCs/>
          <w:sz w:val="16"/>
          <w:szCs w:val="16"/>
          <w:lang w:val="uk-UA"/>
        </w:rPr>
        <w:t>Телефон для довідок: (0</w:t>
      </w:r>
      <w:r w:rsidRPr="00C44B9C">
        <w:rPr>
          <w:rFonts w:ascii="Times New Roman" w:hAnsi="Times New Roman" w:cs="Times New Roman"/>
          <w:b/>
          <w:bCs/>
          <w:sz w:val="16"/>
          <w:szCs w:val="16"/>
        </w:rPr>
        <w:t>5153</w:t>
      </w:r>
      <w:r w:rsidRPr="00C44B9C">
        <w:rPr>
          <w:rFonts w:ascii="Times New Roman" w:hAnsi="Times New Roman" w:cs="Times New Roman"/>
          <w:b/>
          <w:bCs/>
          <w:sz w:val="16"/>
          <w:szCs w:val="16"/>
          <w:lang w:val="uk-UA"/>
        </w:rPr>
        <w:t xml:space="preserve">) </w:t>
      </w:r>
      <w:r w:rsidRPr="00C44B9C">
        <w:rPr>
          <w:rFonts w:ascii="Times New Roman" w:hAnsi="Times New Roman" w:cs="Times New Roman"/>
          <w:b/>
          <w:bCs/>
          <w:sz w:val="16"/>
          <w:szCs w:val="16"/>
        </w:rPr>
        <w:t xml:space="preserve">20-100 </w:t>
      </w:r>
      <w:r w:rsidRPr="00C44B9C">
        <w:rPr>
          <w:rFonts w:ascii="Times New Roman" w:hAnsi="Times New Roman" w:cs="Times New Roman"/>
          <w:b/>
          <w:bCs/>
          <w:sz w:val="16"/>
          <w:szCs w:val="16"/>
          <w:lang w:val="uk-UA"/>
        </w:rPr>
        <w:t xml:space="preserve">Наглядова рада АТ «КОБЛЕВО»   </w:t>
      </w:r>
    </w:p>
    <w:p w14:paraId="65C66D50" w14:textId="77777777" w:rsidR="00975951" w:rsidRPr="00C44B9C" w:rsidRDefault="00027732">
      <w:pPr>
        <w:rPr>
          <w:sz w:val="16"/>
          <w:szCs w:val="16"/>
          <w:lang w:val="uk-UA"/>
        </w:rPr>
      </w:pPr>
    </w:p>
    <w:sectPr w:rsidR="00975951" w:rsidRPr="00C44B9C" w:rsidSect="00027732">
      <w:pgSz w:w="11906" w:h="16838"/>
      <w:pgMar w:top="567" w:right="567" w:bottom="567" w:left="56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BEECE" w16cid:durableId="220670C8"/>
  <w16cid:commentId w16cid:paraId="6D851A4B" w16cid:durableId="22066EF3"/>
  <w16cid:commentId w16cid:paraId="264E97B3" w16cid:durableId="2206700E"/>
  <w16cid:commentId w16cid:paraId="301E6999" w16cid:durableId="22066F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FD4"/>
    <w:multiLevelType w:val="hybridMultilevel"/>
    <w:tmpl w:val="A66855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3B"/>
    <w:rsid w:val="00027732"/>
    <w:rsid w:val="001D643A"/>
    <w:rsid w:val="0042693B"/>
    <w:rsid w:val="00577095"/>
    <w:rsid w:val="005A5F55"/>
    <w:rsid w:val="005E5F2B"/>
    <w:rsid w:val="006610E9"/>
    <w:rsid w:val="00937555"/>
    <w:rsid w:val="00993F55"/>
    <w:rsid w:val="00B832DE"/>
    <w:rsid w:val="00BC4AF9"/>
    <w:rsid w:val="00BF3A00"/>
    <w:rsid w:val="00C228E1"/>
    <w:rsid w:val="00C27D6F"/>
    <w:rsid w:val="00C44B9C"/>
    <w:rsid w:val="00D5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3B"/>
    <w:pPr>
      <w:spacing w:after="0" w:line="240" w:lineRule="auto"/>
    </w:pPr>
  </w:style>
  <w:style w:type="paragraph" w:styleId="1">
    <w:name w:val="heading 1"/>
    <w:basedOn w:val="a"/>
    <w:next w:val="a"/>
    <w:link w:val="10"/>
    <w:qFormat/>
    <w:rsid w:val="0042693B"/>
    <w:pPr>
      <w:keepNext/>
      <w:jc w:val="center"/>
      <w:outlineLvl w:val="0"/>
    </w:pPr>
    <w:rPr>
      <w:rFonts w:ascii="Georgia" w:eastAsia="Times New Roman" w:hAnsi="Georgia"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93B"/>
    <w:rPr>
      <w:rFonts w:ascii="Georgia" w:eastAsia="Times New Roman" w:hAnsi="Georgia" w:cs="Times New Roman"/>
      <w:b/>
      <w:bCs/>
      <w:sz w:val="24"/>
      <w:szCs w:val="24"/>
      <w:lang w:val="uk-UA" w:eastAsia="ru-RU"/>
    </w:rPr>
  </w:style>
  <w:style w:type="character" w:styleId="a3">
    <w:name w:val="Hyperlink"/>
    <w:uiPriority w:val="99"/>
    <w:semiHidden/>
    <w:unhideWhenUsed/>
    <w:rsid w:val="0042693B"/>
    <w:rPr>
      <w:color w:val="0000FF"/>
      <w:u w:val="single"/>
    </w:rPr>
  </w:style>
  <w:style w:type="paragraph" w:styleId="a4">
    <w:name w:val="Normal (Web)"/>
    <w:basedOn w:val="a"/>
    <w:uiPriority w:val="99"/>
    <w:unhideWhenUsed/>
    <w:rsid w:val="0042693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42693B"/>
    <w:pPr>
      <w:spacing w:after="120"/>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2693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D643A"/>
    <w:rPr>
      <w:rFonts w:ascii="Times New Roman" w:hAnsi="Times New Roman" w:cs="Times New Roman"/>
      <w:sz w:val="18"/>
      <w:szCs w:val="18"/>
    </w:rPr>
  </w:style>
  <w:style w:type="character" w:customStyle="1" w:styleId="a8">
    <w:name w:val="Текст выноски Знак"/>
    <w:basedOn w:val="a0"/>
    <w:link w:val="a7"/>
    <w:uiPriority w:val="99"/>
    <w:semiHidden/>
    <w:rsid w:val="001D643A"/>
    <w:rPr>
      <w:rFonts w:ascii="Times New Roman" w:hAnsi="Times New Roman" w:cs="Times New Roman"/>
      <w:sz w:val="18"/>
      <w:szCs w:val="18"/>
    </w:rPr>
  </w:style>
  <w:style w:type="character" w:styleId="a9">
    <w:name w:val="annotation reference"/>
    <w:basedOn w:val="a0"/>
    <w:uiPriority w:val="99"/>
    <w:semiHidden/>
    <w:unhideWhenUsed/>
    <w:rsid w:val="001D643A"/>
    <w:rPr>
      <w:sz w:val="16"/>
      <w:szCs w:val="16"/>
    </w:rPr>
  </w:style>
  <w:style w:type="paragraph" w:styleId="aa">
    <w:name w:val="annotation text"/>
    <w:basedOn w:val="a"/>
    <w:link w:val="ab"/>
    <w:uiPriority w:val="99"/>
    <w:semiHidden/>
    <w:unhideWhenUsed/>
    <w:rsid w:val="001D643A"/>
    <w:rPr>
      <w:sz w:val="20"/>
      <w:szCs w:val="20"/>
    </w:rPr>
  </w:style>
  <w:style w:type="character" w:customStyle="1" w:styleId="ab">
    <w:name w:val="Текст примечания Знак"/>
    <w:basedOn w:val="a0"/>
    <w:link w:val="aa"/>
    <w:uiPriority w:val="99"/>
    <w:semiHidden/>
    <w:rsid w:val="001D643A"/>
    <w:rPr>
      <w:sz w:val="20"/>
      <w:szCs w:val="20"/>
    </w:rPr>
  </w:style>
  <w:style w:type="paragraph" w:styleId="ac">
    <w:name w:val="annotation subject"/>
    <w:basedOn w:val="aa"/>
    <w:next w:val="aa"/>
    <w:link w:val="ad"/>
    <w:uiPriority w:val="99"/>
    <w:semiHidden/>
    <w:unhideWhenUsed/>
    <w:rsid w:val="001D643A"/>
    <w:rPr>
      <w:b/>
      <w:bCs/>
    </w:rPr>
  </w:style>
  <w:style w:type="character" w:customStyle="1" w:styleId="ad">
    <w:name w:val="Тема примечания Знак"/>
    <w:basedOn w:val="ab"/>
    <w:link w:val="ac"/>
    <w:uiPriority w:val="99"/>
    <w:semiHidden/>
    <w:rsid w:val="001D643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3B"/>
    <w:pPr>
      <w:spacing w:after="0" w:line="240" w:lineRule="auto"/>
    </w:pPr>
  </w:style>
  <w:style w:type="paragraph" w:styleId="1">
    <w:name w:val="heading 1"/>
    <w:basedOn w:val="a"/>
    <w:next w:val="a"/>
    <w:link w:val="10"/>
    <w:qFormat/>
    <w:rsid w:val="0042693B"/>
    <w:pPr>
      <w:keepNext/>
      <w:jc w:val="center"/>
      <w:outlineLvl w:val="0"/>
    </w:pPr>
    <w:rPr>
      <w:rFonts w:ascii="Georgia" w:eastAsia="Times New Roman" w:hAnsi="Georgia"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93B"/>
    <w:rPr>
      <w:rFonts w:ascii="Georgia" w:eastAsia="Times New Roman" w:hAnsi="Georgia" w:cs="Times New Roman"/>
      <w:b/>
      <w:bCs/>
      <w:sz w:val="24"/>
      <w:szCs w:val="24"/>
      <w:lang w:val="uk-UA" w:eastAsia="ru-RU"/>
    </w:rPr>
  </w:style>
  <w:style w:type="character" w:styleId="a3">
    <w:name w:val="Hyperlink"/>
    <w:uiPriority w:val="99"/>
    <w:semiHidden/>
    <w:unhideWhenUsed/>
    <w:rsid w:val="0042693B"/>
    <w:rPr>
      <w:color w:val="0000FF"/>
      <w:u w:val="single"/>
    </w:rPr>
  </w:style>
  <w:style w:type="paragraph" w:styleId="a4">
    <w:name w:val="Normal (Web)"/>
    <w:basedOn w:val="a"/>
    <w:uiPriority w:val="99"/>
    <w:unhideWhenUsed/>
    <w:rsid w:val="0042693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42693B"/>
    <w:pPr>
      <w:spacing w:after="120"/>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2693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D643A"/>
    <w:rPr>
      <w:rFonts w:ascii="Times New Roman" w:hAnsi="Times New Roman" w:cs="Times New Roman"/>
      <w:sz w:val="18"/>
      <w:szCs w:val="18"/>
    </w:rPr>
  </w:style>
  <w:style w:type="character" w:customStyle="1" w:styleId="a8">
    <w:name w:val="Текст выноски Знак"/>
    <w:basedOn w:val="a0"/>
    <w:link w:val="a7"/>
    <w:uiPriority w:val="99"/>
    <w:semiHidden/>
    <w:rsid w:val="001D643A"/>
    <w:rPr>
      <w:rFonts w:ascii="Times New Roman" w:hAnsi="Times New Roman" w:cs="Times New Roman"/>
      <w:sz w:val="18"/>
      <w:szCs w:val="18"/>
    </w:rPr>
  </w:style>
  <w:style w:type="character" w:styleId="a9">
    <w:name w:val="annotation reference"/>
    <w:basedOn w:val="a0"/>
    <w:uiPriority w:val="99"/>
    <w:semiHidden/>
    <w:unhideWhenUsed/>
    <w:rsid w:val="001D643A"/>
    <w:rPr>
      <w:sz w:val="16"/>
      <w:szCs w:val="16"/>
    </w:rPr>
  </w:style>
  <w:style w:type="paragraph" w:styleId="aa">
    <w:name w:val="annotation text"/>
    <w:basedOn w:val="a"/>
    <w:link w:val="ab"/>
    <w:uiPriority w:val="99"/>
    <w:semiHidden/>
    <w:unhideWhenUsed/>
    <w:rsid w:val="001D643A"/>
    <w:rPr>
      <w:sz w:val="20"/>
      <w:szCs w:val="20"/>
    </w:rPr>
  </w:style>
  <w:style w:type="character" w:customStyle="1" w:styleId="ab">
    <w:name w:val="Текст примечания Знак"/>
    <w:basedOn w:val="a0"/>
    <w:link w:val="aa"/>
    <w:uiPriority w:val="99"/>
    <w:semiHidden/>
    <w:rsid w:val="001D643A"/>
    <w:rPr>
      <w:sz w:val="20"/>
      <w:szCs w:val="20"/>
    </w:rPr>
  </w:style>
  <w:style w:type="paragraph" w:styleId="ac">
    <w:name w:val="annotation subject"/>
    <w:basedOn w:val="aa"/>
    <w:next w:val="aa"/>
    <w:link w:val="ad"/>
    <w:uiPriority w:val="99"/>
    <w:semiHidden/>
    <w:unhideWhenUsed/>
    <w:rsid w:val="001D643A"/>
    <w:rPr>
      <w:b/>
      <w:bCs/>
    </w:rPr>
  </w:style>
  <w:style w:type="character" w:customStyle="1" w:styleId="ad">
    <w:name w:val="Тема примечания Знак"/>
    <w:basedOn w:val="ab"/>
    <w:link w:val="ac"/>
    <w:uiPriority w:val="99"/>
    <w:semiHidden/>
    <w:rsid w:val="001D64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8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blevo.ua" TargetMode="Externa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1894</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BAYADERAGROUP</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Герасименко Елена</dc:creator>
  <cp:keywords/>
  <dc:description/>
  <cp:lastModifiedBy>Ludmila Grabovenko</cp:lastModifiedBy>
  <cp:revision>9</cp:revision>
  <cp:lastPrinted>2020-03-02T14:10:00Z</cp:lastPrinted>
  <dcterms:created xsi:type="dcterms:W3CDTF">2020-02-24T13:46:00Z</dcterms:created>
  <dcterms:modified xsi:type="dcterms:W3CDTF">2020-03-02T19:00:00Z</dcterms:modified>
</cp:coreProperties>
</file>